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87CB" w14:textId="77777777" w:rsidR="00BB7F6D" w:rsidRDefault="00BB7F6D" w:rsidP="00070835">
      <w:pPr>
        <w:tabs>
          <w:tab w:val="left" w:pos="740"/>
          <w:tab w:val="right" w:pos="9360"/>
          <w:tab w:val="left" w:pos="740"/>
        </w:tabs>
        <w:ind w:left="20"/>
        <w:outlineLvl w:val="0"/>
        <w:rPr>
          <w:rFonts w:asciiTheme="minorHAnsi" w:hAnsiTheme="minorHAnsi"/>
          <w:b/>
          <w:noProof w:val="0"/>
          <w:sz w:val="24"/>
          <w:szCs w:val="24"/>
        </w:rPr>
      </w:pPr>
    </w:p>
    <w:p w14:paraId="5FAB0F15" w14:textId="6D181E7D" w:rsidR="00352894" w:rsidRDefault="009C7DE9" w:rsidP="00070835">
      <w:pPr>
        <w:tabs>
          <w:tab w:val="left" w:pos="740"/>
          <w:tab w:val="right" w:pos="9360"/>
          <w:tab w:val="left" w:pos="740"/>
        </w:tabs>
        <w:ind w:left="20"/>
        <w:outlineLvl w:val="0"/>
        <w:rPr>
          <w:rFonts w:asciiTheme="minorHAnsi" w:hAnsiTheme="minorHAnsi"/>
          <w:b/>
          <w:noProof w:val="0"/>
          <w:sz w:val="24"/>
          <w:szCs w:val="24"/>
        </w:rPr>
      </w:pPr>
      <w:r w:rsidRPr="00CD3919">
        <w:rPr>
          <w:rFonts w:asciiTheme="minorHAnsi" w:hAnsiTheme="minorHAnsi"/>
          <w:b/>
          <w:noProof w:val="0"/>
          <w:sz w:val="24"/>
          <w:szCs w:val="24"/>
        </w:rPr>
        <w:t>Department of Philosophy &amp; Religion</w:t>
      </w:r>
      <w:r w:rsidR="009A3EE5">
        <w:rPr>
          <w:rFonts w:asciiTheme="minorHAnsi" w:hAnsiTheme="minorHAnsi"/>
          <w:b/>
          <w:noProof w:val="0"/>
          <w:sz w:val="24"/>
          <w:szCs w:val="24"/>
        </w:rPr>
        <w:t>,</w:t>
      </w:r>
      <w:r w:rsidR="00533D4F" w:rsidRPr="00CD3919">
        <w:rPr>
          <w:rFonts w:asciiTheme="minorHAnsi" w:hAnsiTheme="minorHAnsi"/>
          <w:b/>
          <w:noProof w:val="0"/>
          <w:sz w:val="24"/>
          <w:szCs w:val="24"/>
        </w:rPr>
        <w:t xml:space="preserve"> </w:t>
      </w:r>
      <w:r w:rsidR="00930751" w:rsidRPr="00CD3919">
        <w:rPr>
          <w:rFonts w:asciiTheme="minorHAnsi" w:hAnsiTheme="minorHAnsi"/>
          <w:b/>
          <w:noProof w:val="0"/>
          <w:sz w:val="24"/>
          <w:szCs w:val="24"/>
        </w:rPr>
        <w:t xml:space="preserve">Promotion &amp; Tenure </w:t>
      </w:r>
      <w:r w:rsidR="008B042F">
        <w:rPr>
          <w:rFonts w:asciiTheme="minorHAnsi" w:hAnsiTheme="minorHAnsi"/>
          <w:b/>
          <w:noProof w:val="0"/>
          <w:sz w:val="24"/>
          <w:szCs w:val="24"/>
        </w:rPr>
        <w:t xml:space="preserve">Guidelines </w:t>
      </w:r>
    </w:p>
    <w:p w14:paraId="7808669D" w14:textId="1AD43DAC" w:rsidR="009C7DE9" w:rsidRPr="00352894" w:rsidRDefault="00352894" w:rsidP="00070835">
      <w:pPr>
        <w:tabs>
          <w:tab w:val="left" w:pos="740"/>
          <w:tab w:val="right" w:pos="9360"/>
          <w:tab w:val="left" w:pos="740"/>
        </w:tabs>
        <w:ind w:left="20"/>
        <w:outlineLvl w:val="0"/>
        <w:rPr>
          <w:rFonts w:asciiTheme="minorHAnsi" w:hAnsiTheme="minorHAnsi"/>
          <w:bCs/>
          <w:noProof w:val="0"/>
          <w:sz w:val="24"/>
          <w:szCs w:val="24"/>
        </w:rPr>
      </w:pPr>
      <w:r w:rsidRPr="00352894">
        <w:rPr>
          <w:rFonts w:asciiTheme="minorHAnsi" w:hAnsiTheme="minorHAnsi"/>
          <w:bCs/>
          <w:noProof w:val="0"/>
          <w:sz w:val="24"/>
          <w:szCs w:val="24"/>
        </w:rPr>
        <w:t>(Part VII. of</w:t>
      </w:r>
      <w:r>
        <w:rPr>
          <w:rFonts w:asciiTheme="minorHAnsi" w:hAnsiTheme="minorHAnsi"/>
          <w:bCs/>
          <w:noProof w:val="0"/>
          <w:sz w:val="24"/>
          <w:szCs w:val="24"/>
        </w:rPr>
        <w:t xml:space="preserve"> Department Bylaws) (Submitted by the Executive </w:t>
      </w:r>
      <w:proofErr w:type="spellStart"/>
      <w:r>
        <w:rPr>
          <w:rFonts w:asciiTheme="minorHAnsi" w:hAnsiTheme="minorHAnsi"/>
          <w:bCs/>
          <w:noProof w:val="0"/>
          <w:sz w:val="24"/>
          <w:szCs w:val="24"/>
        </w:rPr>
        <w:t>Ctee</w:t>
      </w:r>
      <w:proofErr w:type="spellEnd"/>
      <w:r>
        <w:rPr>
          <w:rFonts w:asciiTheme="minorHAnsi" w:hAnsiTheme="minorHAnsi"/>
          <w:bCs/>
          <w:noProof w:val="0"/>
          <w:sz w:val="24"/>
          <w:szCs w:val="24"/>
        </w:rPr>
        <w:t xml:space="preserve"> 02-14-2019)</w:t>
      </w:r>
      <w:bookmarkStart w:id="0" w:name="_GoBack"/>
      <w:bookmarkEnd w:id="0"/>
    </w:p>
    <w:p w14:paraId="7555819A" w14:textId="77777777" w:rsidR="009C7DE9" w:rsidRPr="00CD3919" w:rsidRDefault="00042701" w:rsidP="00D045B1">
      <w:pPr>
        <w:tabs>
          <w:tab w:val="left" w:pos="740"/>
          <w:tab w:val="left" w:pos="740"/>
          <w:tab w:val="left" w:pos="2656"/>
        </w:tabs>
        <w:rPr>
          <w:rFonts w:asciiTheme="minorHAnsi" w:hAnsiTheme="minorHAnsi"/>
          <w:b/>
          <w:noProof w:val="0"/>
          <w:sz w:val="24"/>
          <w:szCs w:val="24"/>
        </w:rPr>
      </w:pPr>
      <w:r>
        <w:rPr>
          <w:rFonts w:asciiTheme="minorHAnsi" w:hAnsiTheme="minorHAnsi"/>
          <w:b/>
          <w:noProof w:val="0"/>
          <w:sz w:val="24"/>
          <w:szCs w:val="24"/>
        </w:rPr>
        <w:tab/>
      </w:r>
    </w:p>
    <w:p w14:paraId="6C59F8CA" w14:textId="77777777" w:rsidR="00930751" w:rsidRPr="00CD3919" w:rsidRDefault="00930751" w:rsidP="00D045B1">
      <w:pPr>
        <w:tabs>
          <w:tab w:val="left" w:pos="740"/>
          <w:tab w:val="right" w:pos="9360"/>
          <w:tab w:val="left" w:pos="740"/>
        </w:tabs>
        <w:ind w:left="20"/>
        <w:outlineLvl w:val="0"/>
        <w:rPr>
          <w:rFonts w:asciiTheme="minorHAnsi" w:hAnsiTheme="minorHAnsi"/>
          <w:sz w:val="24"/>
          <w:szCs w:val="24"/>
          <w:lang w:bidi="en-US"/>
        </w:rPr>
      </w:pPr>
      <w:r w:rsidRPr="00CD3919">
        <w:rPr>
          <w:rFonts w:asciiTheme="minorHAnsi" w:hAnsiTheme="minorHAnsi"/>
          <w:b/>
          <w:noProof w:val="0"/>
          <w:sz w:val="24"/>
          <w:szCs w:val="24"/>
        </w:rPr>
        <w:t xml:space="preserve">VII. </w:t>
      </w:r>
      <w:r w:rsidR="00042701">
        <w:rPr>
          <w:rFonts w:asciiTheme="minorHAnsi" w:hAnsiTheme="minorHAnsi"/>
          <w:b/>
          <w:bCs/>
          <w:sz w:val="24"/>
          <w:szCs w:val="24"/>
          <w:lang w:bidi="en-US"/>
        </w:rPr>
        <w:t>Guidelines</w:t>
      </w:r>
      <w:r w:rsidR="00042701" w:rsidRPr="00CD3919">
        <w:rPr>
          <w:rFonts w:asciiTheme="minorHAnsi" w:hAnsiTheme="minorHAnsi"/>
          <w:b/>
          <w:bCs/>
          <w:sz w:val="24"/>
          <w:szCs w:val="24"/>
          <w:lang w:bidi="en-US"/>
        </w:rPr>
        <w:t xml:space="preserve"> </w:t>
      </w:r>
      <w:r w:rsidRPr="00CD3919">
        <w:rPr>
          <w:rFonts w:asciiTheme="minorHAnsi" w:hAnsiTheme="minorHAnsi"/>
          <w:b/>
          <w:bCs/>
          <w:sz w:val="24"/>
          <w:szCs w:val="24"/>
          <w:lang w:bidi="en-US"/>
        </w:rPr>
        <w:t>for Tenure and Promotion:</w:t>
      </w:r>
      <w:r w:rsidRPr="00CD3919">
        <w:rPr>
          <w:rFonts w:asciiTheme="minorHAnsi" w:hAnsiTheme="minorHAnsi"/>
          <w:bCs/>
          <w:sz w:val="24"/>
          <w:szCs w:val="24"/>
          <w:lang w:bidi="en-US"/>
        </w:rPr>
        <w:t xml:space="preserve"> </w:t>
      </w:r>
    </w:p>
    <w:p w14:paraId="52AA435C" w14:textId="716373CA" w:rsidR="00930751" w:rsidRPr="00D045B1" w:rsidRDefault="00532C10" w:rsidP="00D045B1">
      <w:pPr>
        <w:spacing w:line="260" w:lineRule="auto"/>
        <w:rPr>
          <w:sz w:val="24"/>
        </w:rPr>
      </w:pPr>
      <w:r w:rsidRPr="000C094C">
        <w:rPr>
          <w:sz w:val="24"/>
        </w:rPr>
        <w:t xml:space="preserve">The </w:t>
      </w:r>
      <w:r w:rsidRPr="00CD3919">
        <w:rPr>
          <w:rFonts w:asciiTheme="minorHAnsi" w:hAnsiTheme="minorHAnsi"/>
          <w:noProof w:val="0"/>
          <w:sz w:val="24"/>
          <w:szCs w:val="24"/>
        </w:rPr>
        <w:t xml:space="preserve">Personnel </w:t>
      </w:r>
      <w:r>
        <w:rPr>
          <w:rFonts w:asciiTheme="minorHAnsi" w:hAnsiTheme="minorHAnsi"/>
          <w:noProof w:val="0"/>
          <w:sz w:val="24"/>
          <w:szCs w:val="24"/>
        </w:rPr>
        <w:t>Affairs</w:t>
      </w:r>
      <w:r w:rsidRPr="00CD3919">
        <w:rPr>
          <w:rFonts w:asciiTheme="minorHAnsi" w:hAnsiTheme="minorHAnsi"/>
          <w:noProof w:val="0"/>
          <w:sz w:val="24"/>
          <w:szCs w:val="24"/>
        </w:rPr>
        <w:t xml:space="preserve"> Committee </w:t>
      </w:r>
      <w:r>
        <w:rPr>
          <w:rFonts w:asciiTheme="minorHAnsi" w:hAnsiTheme="minorHAnsi"/>
          <w:noProof w:val="0"/>
          <w:sz w:val="24"/>
          <w:szCs w:val="24"/>
        </w:rPr>
        <w:t>(</w:t>
      </w:r>
      <w:r w:rsidRPr="00821F48">
        <w:rPr>
          <w:rFonts w:asciiTheme="minorHAnsi" w:hAnsiTheme="minorHAnsi"/>
          <w:bCs/>
          <w:sz w:val="24"/>
          <w:szCs w:val="24"/>
          <w:lang w:bidi="en-US"/>
        </w:rPr>
        <w:t>PAC</w:t>
      </w:r>
      <w:r>
        <w:rPr>
          <w:rFonts w:asciiTheme="minorHAnsi" w:hAnsiTheme="minorHAnsi"/>
          <w:bCs/>
          <w:sz w:val="24"/>
          <w:szCs w:val="24"/>
          <w:lang w:bidi="en-US"/>
        </w:rPr>
        <w:t xml:space="preserve">) </w:t>
      </w:r>
      <w:r w:rsidRPr="000C094C">
        <w:rPr>
          <w:sz w:val="24"/>
        </w:rPr>
        <w:t xml:space="preserve">shall consider and recommend individuals for promotion and tenure in accordance with </w:t>
      </w:r>
      <w:r>
        <w:rPr>
          <w:sz w:val="24"/>
        </w:rPr>
        <w:t>the guidelines</w:t>
      </w:r>
      <w:r w:rsidRPr="000C094C">
        <w:rPr>
          <w:sz w:val="24"/>
        </w:rPr>
        <w:t xml:space="preserve"> found in the University Policy Manual</w:t>
      </w:r>
      <w:r>
        <w:rPr>
          <w:sz w:val="24"/>
        </w:rPr>
        <w:t xml:space="preserve"> (6.004). </w:t>
      </w:r>
      <w:r w:rsidR="00930751" w:rsidRPr="00CD3919">
        <w:rPr>
          <w:rFonts w:asciiTheme="minorHAnsi" w:hAnsiTheme="minorHAnsi"/>
          <w:sz w:val="24"/>
          <w:szCs w:val="24"/>
          <w:lang w:bidi="en-US"/>
        </w:rPr>
        <w:t xml:space="preserve">Tenure and promotion in the Department involve evaluation in </w:t>
      </w:r>
      <w:r w:rsidR="009D72A6">
        <w:rPr>
          <w:rFonts w:asciiTheme="minorHAnsi" w:hAnsiTheme="minorHAnsi"/>
          <w:sz w:val="24"/>
          <w:szCs w:val="24"/>
          <w:lang w:bidi="en-US"/>
        </w:rPr>
        <w:t>three</w:t>
      </w:r>
      <w:r w:rsidR="009D72A6" w:rsidRPr="00CD3919">
        <w:rPr>
          <w:rFonts w:asciiTheme="minorHAnsi" w:hAnsiTheme="minorHAnsi"/>
          <w:sz w:val="24"/>
          <w:szCs w:val="24"/>
          <w:lang w:bidi="en-US"/>
        </w:rPr>
        <w:t xml:space="preserve"> </w:t>
      </w:r>
      <w:r w:rsidR="00930751" w:rsidRPr="00CD3919">
        <w:rPr>
          <w:rFonts w:asciiTheme="minorHAnsi" w:hAnsiTheme="minorHAnsi"/>
          <w:sz w:val="24"/>
          <w:szCs w:val="24"/>
          <w:lang w:bidi="en-US"/>
        </w:rPr>
        <w:t>areas : research</w:t>
      </w:r>
      <w:r w:rsidR="00D1533F">
        <w:rPr>
          <w:rFonts w:asciiTheme="minorHAnsi" w:hAnsiTheme="minorHAnsi"/>
          <w:sz w:val="24"/>
          <w:szCs w:val="24"/>
          <w:lang w:bidi="en-US"/>
        </w:rPr>
        <w:t>, teaching, and service</w:t>
      </w:r>
      <w:r w:rsidR="00930751" w:rsidRPr="00CD3919">
        <w:rPr>
          <w:rFonts w:asciiTheme="minorHAnsi" w:hAnsiTheme="minorHAnsi"/>
          <w:sz w:val="24"/>
          <w:szCs w:val="24"/>
          <w:lang w:bidi="en-US"/>
        </w:rPr>
        <w:t xml:space="preserve">. </w:t>
      </w:r>
    </w:p>
    <w:p w14:paraId="68E70280" w14:textId="77777777" w:rsidR="00315315" w:rsidRPr="00CD3919" w:rsidRDefault="00315315" w:rsidP="00930751">
      <w:pPr>
        <w:widowControl w:val="0"/>
        <w:autoSpaceDE w:val="0"/>
        <w:autoSpaceDN w:val="0"/>
        <w:adjustRightInd w:val="0"/>
        <w:rPr>
          <w:rFonts w:asciiTheme="minorHAnsi" w:hAnsiTheme="minorHAnsi"/>
          <w:sz w:val="24"/>
          <w:szCs w:val="24"/>
          <w:lang w:bidi="en-US"/>
        </w:rPr>
      </w:pPr>
    </w:p>
    <w:p w14:paraId="0157DFCA" w14:textId="77777777" w:rsidR="00930751" w:rsidRPr="00CD3919" w:rsidRDefault="00930751" w:rsidP="00070835">
      <w:pPr>
        <w:widowControl w:val="0"/>
        <w:autoSpaceDE w:val="0"/>
        <w:autoSpaceDN w:val="0"/>
        <w:adjustRightInd w:val="0"/>
        <w:outlineLvl w:val="0"/>
        <w:rPr>
          <w:rFonts w:asciiTheme="minorHAnsi" w:hAnsiTheme="minorHAnsi"/>
          <w:bCs/>
          <w:i/>
          <w:sz w:val="24"/>
          <w:szCs w:val="24"/>
          <w:lang w:bidi="en-US"/>
        </w:rPr>
      </w:pPr>
      <w:r w:rsidRPr="00CD3919">
        <w:rPr>
          <w:rFonts w:asciiTheme="minorHAnsi" w:hAnsiTheme="minorHAnsi"/>
          <w:bCs/>
          <w:i/>
          <w:sz w:val="24"/>
          <w:szCs w:val="24"/>
          <w:lang w:bidi="en-US"/>
        </w:rPr>
        <w:t xml:space="preserve">A. </w:t>
      </w:r>
      <w:r w:rsidRPr="00CD3919">
        <w:rPr>
          <w:rFonts w:asciiTheme="minorHAnsi" w:hAnsiTheme="minorHAnsi"/>
          <w:b/>
          <w:bCs/>
          <w:i/>
          <w:sz w:val="24"/>
          <w:szCs w:val="24"/>
          <w:lang w:bidi="en-US"/>
        </w:rPr>
        <w:t>Tenure and Promotion to Associate Professor</w:t>
      </w:r>
    </w:p>
    <w:p w14:paraId="23310274" w14:textId="77777777" w:rsidR="00930751" w:rsidRPr="00CD3919" w:rsidRDefault="00930751" w:rsidP="00930751">
      <w:pPr>
        <w:widowControl w:val="0"/>
        <w:autoSpaceDE w:val="0"/>
        <w:autoSpaceDN w:val="0"/>
        <w:adjustRightInd w:val="0"/>
        <w:rPr>
          <w:rFonts w:asciiTheme="minorHAnsi" w:hAnsiTheme="minorHAnsi"/>
          <w:sz w:val="24"/>
          <w:szCs w:val="24"/>
          <w:lang w:bidi="en-US"/>
        </w:rPr>
      </w:pPr>
    </w:p>
    <w:p w14:paraId="2A37ED37" w14:textId="77777777" w:rsidR="00930751" w:rsidRPr="00CD3919" w:rsidRDefault="00930751" w:rsidP="00930751">
      <w:pPr>
        <w:widowControl w:val="0"/>
        <w:autoSpaceDE w:val="0"/>
        <w:autoSpaceDN w:val="0"/>
        <w:adjustRightInd w:val="0"/>
        <w:rPr>
          <w:rFonts w:asciiTheme="minorHAnsi" w:hAnsiTheme="minorHAnsi"/>
          <w:sz w:val="24"/>
          <w:szCs w:val="24"/>
          <w:lang w:bidi="en-US"/>
        </w:rPr>
      </w:pPr>
      <w:r w:rsidRPr="00CD3919">
        <w:rPr>
          <w:rFonts w:asciiTheme="minorHAnsi" w:hAnsiTheme="minorHAnsi"/>
          <w:bCs/>
          <w:sz w:val="24"/>
          <w:szCs w:val="24"/>
          <w:lang w:bidi="en-US"/>
        </w:rPr>
        <w:t xml:space="preserve">1. Research: </w:t>
      </w:r>
      <w:r w:rsidRPr="00CD3919">
        <w:rPr>
          <w:rFonts w:asciiTheme="minorHAnsi" w:hAnsiTheme="minorHAnsi"/>
          <w:sz w:val="24"/>
          <w:szCs w:val="24"/>
          <w:lang w:bidi="en-US"/>
        </w:rPr>
        <w:t xml:space="preserve">The Department considers a wide variety of accomplishments </w:t>
      </w:r>
      <w:r w:rsidR="00E207E6">
        <w:rPr>
          <w:rFonts w:asciiTheme="minorHAnsi" w:hAnsiTheme="minorHAnsi"/>
          <w:sz w:val="24"/>
          <w:szCs w:val="24"/>
          <w:lang w:bidi="en-US"/>
        </w:rPr>
        <w:t>for</w:t>
      </w:r>
      <w:r w:rsidRPr="00CD3919">
        <w:rPr>
          <w:rFonts w:asciiTheme="minorHAnsi" w:hAnsiTheme="minorHAnsi"/>
          <w:sz w:val="24"/>
          <w:szCs w:val="24"/>
          <w:lang w:bidi="en-US"/>
        </w:rPr>
        <w:t xml:space="preserve"> tenure, including but not limited to single-authored books, co-authored books, edited or co-edited volumes, peer-reviewed journal articles and book chapters, journal editing, translations, audio and video productions</w:t>
      </w:r>
      <w:r w:rsidR="00627644">
        <w:rPr>
          <w:rFonts w:asciiTheme="minorHAnsi" w:hAnsiTheme="minorHAnsi"/>
          <w:sz w:val="24"/>
          <w:szCs w:val="24"/>
          <w:lang w:bidi="en-US"/>
        </w:rPr>
        <w:t xml:space="preserve">, </w:t>
      </w:r>
      <w:r w:rsidRPr="00CD3919">
        <w:rPr>
          <w:rFonts w:asciiTheme="minorHAnsi" w:hAnsiTheme="minorHAnsi"/>
          <w:sz w:val="24"/>
          <w:szCs w:val="24"/>
          <w:lang w:bidi="en-US"/>
        </w:rPr>
        <w:t>web pages, and other new media</w:t>
      </w:r>
      <w:r w:rsidR="00D62FE5">
        <w:rPr>
          <w:rFonts w:asciiTheme="minorHAnsi" w:hAnsiTheme="minorHAnsi"/>
          <w:sz w:val="24"/>
          <w:szCs w:val="24"/>
          <w:lang w:bidi="en-US"/>
        </w:rPr>
        <w:t>.</w:t>
      </w:r>
      <w:r w:rsidRPr="00CD3919">
        <w:rPr>
          <w:rFonts w:asciiTheme="minorHAnsi" w:hAnsiTheme="minorHAnsi"/>
          <w:sz w:val="24"/>
          <w:szCs w:val="24"/>
          <w:lang w:bidi="en-US"/>
        </w:rPr>
        <w:t xml:space="preserve"> Generally speaking, the Department seeks to promote interdisciplinary collaborations of all types, and will weigh </w:t>
      </w:r>
      <w:r w:rsidR="00FD04F8">
        <w:rPr>
          <w:rFonts w:asciiTheme="minorHAnsi" w:hAnsiTheme="minorHAnsi"/>
          <w:sz w:val="24"/>
          <w:szCs w:val="24"/>
          <w:lang w:bidi="en-US"/>
        </w:rPr>
        <w:t xml:space="preserve">collaborative </w:t>
      </w:r>
      <w:r w:rsidRPr="00CD3919">
        <w:rPr>
          <w:rFonts w:asciiTheme="minorHAnsi" w:hAnsiTheme="minorHAnsi"/>
          <w:sz w:val="24"/>
          <w:szCs w:val="24"/>
          <w:lang w:bidi="en-US"/>
        </w:rPr>
        <w:t xml:space="preserve">interdisciplinary work produced in any of the above areas equally with intra-disciplinary work produced in the disciplines of philosophy and religion studies.  Progress toward such accomplishments as these will be examined </w:t>
      </w:r>
      <w:r w:rsidR="00FE759A">
        <w:rPr>
          <w:rFonts w:asciiTheme="minorHAnsi" w:hAnsiTheme="minorHAnsi"/>
          <w:sz w:val="24"/>
          <w:szCs w:val="24"/>
          <w:lang w:bidi="en-US"/>
        </w:rPr>
        <w:t xml:space="preserve">starting </w:t>
      </w:r>
      <w:r w:rsidRPr="00CD3919">
        <w:rPr>
          <w:rFonts w:asciiTheme="minorHAnsi" w:hAnsiTheme="minorHAnsi"/>
          <w:sz w:val="24"/>
          <w:szCs w:val="24"/>
          <w:lang w:bidi="en-US"/>
        </w:rPr>
        <w:t>at the mid-term (three-year) evaluation.</w:t>
      </w:r>
    </w:p>
    <w:p w14:paraId="3E942A7D" w14:textId="77777777" w:rsidR="00930751" w:rsidRPr="00CD3919" w:rsidRDefault="00930751" w:rsidP="00930751">
      <w:pPr>
        <w:widowControl w:val="0"/>
        <w:autoSpaceDE w:val="0"/>
        <w:autoSpaceDN w:val="0"/>
        <w:adjustRightInd w:val="0"/>
        <w:rPr>
          <w:rFonts w:asciiTheme="minorHAnsi" w:hAnsiTheme="minorHAnsi"/>
          <w:sz w:val="24"/>
          <w:szCs w:val="24"/>
          <w:lang w:bidi="en-US"/>
        </w:rPr>
      </w:pPr>
    </w:p>
    <w:p w14:paraId="552ED4E3" w14:textId="77777777" w:rsidR="00930751" w:rsidRPr="00CD3919" w:rsidRDefault="00930751" w:rsidP="00930751">
      <w:pPr>
        <w:widowControl w:val="0"/>
        <w:autoSpaceDE w:val="0"/>
        <w:autoSpaceDN w:val="0"/>
        <w:adjustRightInd w:val="0"/>
        <w:rPr>
          <w:rFonts w:asciiTheme="minorHAnsi" w:hAnsiTheme="minorHAnsi"/>
          <w:sz w:val="24"/>
          <w:szCs w:val="24"/>
          <w:lang w:bidi="en-US"/>
        </w:rPr>
      </w:pPr>
      <w:r w:rsidRPr="00CD3919">
        <w:rPr>
          <w:rFonts w:asciiTheme="minorHAnsi" w:hAnsiTheme="minorHAnsi"/>
          <w:sz w:val="24"/>
          <w:szCs w:val="24"/>
          <w:lang w:bidi="en-US"/>
        </w:rPr>
        <w:t>Keeping in mind that quality can trump quantity</w:t>
      </w:r>
      <w:r w:rsidR="00737328">
        <w:rPr>
          <w:rFonts w:asciiTheme="minorHAnsi" w:hAnsiTheme="minorHAnsi"/>
          <w:sz w:val="24"/>
          <w:szCs w:val="24"/>
          <w:lang w:bidi="en-US"/>
        </w:rPr>
        <w:t xml:space="preserve"> </w:t>
      </w:r>
      <w:r w:rsidRPr="00CD3919">
        <w:rPr>
          <w:rFonts w:asciiTheme="minorHAnsi" w:hAnsiTheme="minorHAnsi"/>
          <w:sz w:val="24"/>
          <w:szCs w:val="24"/>
          <w:lang w:bidi="en-US"/>
        </w:rPr>
        <w:t xml:space="preserve">the applicant for promotion to Associate Professor with tenure should </w:t>
      </w:r>
      <w:r w:rsidR="004B2423">
        <w:rPr>
          <w:rFonts w:asciiTheme="minorHAnsi" w:hAnsiTheme="minorHAnsi"/>
          <w:sz w:val="24"/>
          <w:szCs w:val="24"/>
          <w:lang w:bidi="en-US"/>
        </w:rPr>
        <w:t xml:space="preserve">have </w:t>
      </w:r>
      <w:r w:rsidR="00BB7F6D" w:rsidRPr="00A81EA1">
        <w:rPr>
          <w:rFonts w:asciiTheme="minorHAnsi" w:hAnsiTheme="minorHAnsi"/>
          <w:sz w:val="24"/>
          <w:szCs w:val="24"/>
          <w:lang w:bidi="en-US"/>
        </w:rPr>
        <w:t>a minimum of</w:t>
      </w:r>
      <w:r w:rsidR="00BB7F6D">
        <w:rPr>
          <w:rFonts w:asciiTheme="minorHAnsi" w:hAnsiTheme="minorHAnsi"/>
          <w:sz w:val="24"/>
          <w:szCs w:val="24"/>
          <w:lang w:bidi="en-US"/>
        </w:rPr>
        <w:t xml:space="preserve"> </w:t>
      </w:r>
      <w:r w:rsidR="00552ED3">
        <w:rPr>
          <w:rFonts w:asciiTheme="minorHAnsi" w:hAnsiTheme="minorHAnsi"/>
          <w:sz w:val="24"/>
          <w:szCs w:val="24"/>
          <w:lang w:bidi="en-US"/>
        </w:rPr>
        <w:t>eight</w:t>
      </w:r>
      <w:r w:rsidR="004B2423">
        <w:rPr>
          <w:rFonts w:asciiTheme="minorHAnsi" w:hAnsiTheme="minorHAnsi"/>
          <w:sz w:val="24"/>
          <w:szCs w:val="24"/>
          <w:lang w:bidi="en-US"/>
        </w:rPr>
        <w:t xml:space="preserve"> </w:t>
      </w:r>
      <w:r w:rsidRPr="00CD3919">
        <w:rPr>
          <w:rFonts w:asciiTheme="minorHAnsi" w:hAnsiTheme="minorHAnsi"/>
          <w:sz w:val="24"/>
          <w:szCs w:val="24"/>
          <w:lang w:bidi="en-US"/>
        </w:rPr>
        <w:t xml:space="preserve"> journal articles or chapters in books or the equivalent thereof, </w:t>
      </w:r>
      <w:r w:rsidR="004B2423">
        <w:rPr>
          <w:rFonts w:asciiTheme="minorHAnsi" w:hAnsiTheme="minorHAnsi"/>
          <w:sz w:val="24"/>
          <w:szCs w:val="24"/>
          <w:lang w:bidi="en-US"/>
        </w:rPr>
        <w:t xml:space="preserve">or a book and </w:t>
      </w:r>
      <w:r w:rsidR="003515AE">
        <w:rPr>
          <w:rFonts w:asciiTheme="minorHAnsi" w:hAnsiTheme="minorHAnsi"/>
          <w:sz w:val="24"/>
          <w:szCs w:val="24"/>
          <w:lang w:bidi="en-US"/>
        </w:rPr>
        <w:t>two</w:t>
      </w:r>
      <w:r w:rsidR="00222614">
        <w:rPr>
          <w:rFonts w:asciiTheme="minorHAnsi" w:hAnsiTheme="minorHAnsi"/>
          <w:sz w:val="24"/>
          <w:szCs w:val="24"/>
          <w:lang w:bidi="en-US"/>
        </w:rPr>
        <w:t xml:space="preserve"> publication</w:t>
      </w:r>
      <w:r w:rsidR="00655834">
        <w:rPr>
          <w:rFonts w:asciiTheme="minorHAnsi" w:hAnsiTheme="minorHAnsi"/>
          <w:sz w:val="24"/>
          <w:szCs w:val="24"/>
          <w:lang w:bidi="en-US"/>
        </w:rPr>
        <w:t>s</w:t>
      </w:r>
      <w:r w:rsidR="00616966" w:rsidRPr="00CD3919">
        <w:rPr>
          <w:rFonts w:asciiTheme="minorHAnsi" w:hAnsiTheme="minorHAnsi"/>
          <w:sz w:val="24"/>
          <w:szCs w:val="24"/>
          <w:lang w:bidi="en-US"/>
        </w:rPr>
        <w:t xml:space="preserve"> </w:t>
      </w:r>
      <w:r w:rsidR="00121524">
        <w:rPr>
          <w:rFonts w:asciiTheme="minorHAnsi" w:hAnsiTheme="minorHAnsi"/>
          <w:sz w:val="24"/>
          <w:szCs w:val="24"/>
          <w:lang w:bidi="en-US"/>
        </w:rPr>
        <w:t>at the start of the candidate’s sixth year</w:t>
      </w:r>
      <w:r w:rsidRPr="00CD3919">
        <w:rPr>
          <w:rFonts w:asciiTheme="minorHAnsi" w:hAnsiTheme="minorHAnsi"/>
          <w:sz w:val="24"/>
          <w:szCs w:val="24"/>
          <w:lang w:bidi="en-US"/>
        </w:rPr>
        <w:t xml:space="preserve">. </w:t>
      </w:r>
      <w:r w:rsidRPr="00CD3919">
        <w:rPr>
          <w:rFonts w:asciiTheme="minorHAnsi" w:hAnsiTheme="minorHAnsi"/>
          <w:sz w:val="24"/>
          <w:szCs w:val="24"/>
        </w:rPr>
        <w:t xml:space="preserve">Work produced at other institutions will also be considered, but the emphasis will be placed upon work accomplished while at UNT.  </w:t>
      </w:r>
    </w:p>
    <w:p w14:paraId="00A9F7F6" w14:textId="77777777" w:rsidR="00930751" w:rsidRPr="00CD3919" w:rsidRDefault="00930751" w:rsidP="00930751">
      <w:pPr>
        <w:widowControl w:val="0"/>
        <w:autoSpaceDE w:val="0"/>
        <w:autoSpaceDN w:val="0"/>
        <w:adjustRightInd w:val="0"/>
        <w:rPr>
          <w:rFonts w:asciiTheme="minorHAnsi" w:hAnsiTheme="minorHAnsi"/>
          <w:sz w:val="24"/>
          <w:szCs w:val="24"/>
          <w:lang w:bidi="en-US"/>
        </w:rPr>
      </w:pPr>
    </w:p>
    <w:p w14:paraId="139A56A3" w14:textId="77777777" w:rsidR="00930751" w:rsidRDefault="00930751" w:rsidP="00930751">
      <w:pPr>
        <w:widowControl w:val="0"/>
        <w:autoSpaceDE w:val="0"/>
        <w:autoSpaceDN w:val="0"/>
        <w:adjustRightInd w:val="0"/>
        <w:rPr>
          <w:rFonts w:asciiTheme="minorHAnsi" w:hAnsiTheme="minorHAnsi"/>
          <w:sz w:val="24"/>
          <w:szCs w:val="24"/>
          <w:lang w:bidi="en-US"/>
        </w:rPr>
      </w:pPr>
      <w:r w:rsidRPr="00CD3919">
        <w:rPr>
          <w:rFonts w:asciiTheme="minorHAnsi" w:hAnsiTheme="minorHAnsi"/>
          <w:sz w:val="24"/>
          <w:szCs w:val="24"/>
          <w:lang w:bidi="en-US"/>
        </w:rPr>
        <w:t>The publication of a single-authored book will be deemed the equivalent of five</w:t>
      </w:r>
      <w:r w:rsidR="008455F4">
        <w:rPr>
          <w:rFonts w:asciiTheme="minorHAnsi" w:hAnsiTheme="minorHAnsi"/>
          <w:sz w:val="24"/>
          <w:szCs w:val="24"/>
          <w:lang w:bidi="en-US"/>
        </w:rPr>
        <w:t xml:space="preserve"> to </w:t>
      </w:r>
      <w:r w:rsidR="00294933">
        <w:rPr>
          <w:rFonts w:asciiTheme="minorHAnsi" w:hAnsiTheme="minorHAnsi"/>
          <w:sz w:val="24"/>
          <w:szCs w:val="24"/>
          <w:lang w:bidi="en-US"/>
        </w:rPr>
        <w:t>seven</w:t>
      </w:r>
      <w:r w:rsidR="00294933" w:rsidRPr="00CD3919">
        <w:rPr>
          <w:rFonts w:asciiTheme="minorHAnsi" w:hAnsiTheme="minorHAnsi"/>
          <w:sz w:val="24"/>
          <w:szCs w:val="24"/>
          <w:lang w:bidi="en-US"/>
        </w:rPr>
        <w:t xml:space="preserve"> </w:t>
      </w:r>
      <w:r w:rsidR="00294933">
        <w:rPr>
          <w:rFonts w:asciiTheme="minorHAnsi" w:hAnsiTheme="minorHAnsi"/>
          <w:sz w:val="24"/>
          <w:szCs w:val="24"/>
          <w:lang w:bidi="en-US"/>
        </w:rPr>
        <w:t>publications</w:t>
      </w:r>
      <w:r w:rsidR="008455F4">
        <w:rPr>
          <w:rFonts w:asciiTheme="minorHAnsi" w:hAnsiTheme="minorHAnsi"/>
          <w:sz w:val="24"/>
          <w:szCs w:val="24"/>
          <w:lang w:bidi="en-US"/>
        </w:rPr>
        <w:t>, depending on the length of the book</w:t>
      </w:r>
      <w:r w:rsidR="000E10CB">
        <w:rPr>
          <w:rFonts w:asciiTheme="minorHAnsi" w:hAnsiTheme="minorHAnsi"/>
          <w:sz w:val="24"/>
          <w:szCs w:val="24"/>
          <w:lang w:bidi="en-US"/>
        </w:rPr>
        <w:t xml:space="preserve"> and/or committee</w:t>
      </w:r>
      <w:r w:rsidR="00294933">
        <w:rPr>
          <w:rFonts w:asciiTheme="minorHAnsi" w:hAnsiTheme="minorHAnsi"/>
          <w:sz w:val="24"/>
          <w:szCs w:val="24"/>
          <w:lang w:bidi="en-US"/>
        </w:rPr>
        <w:t>’s</w:t>
      </w:r>
      <w:r w:rsidR="000E10CB">
        <w:rPr>
          <w:rFonts w:asciiTheme="minorHAnsi" w:hAnsiTheme="minorHAnsi"/>
          <w:sz w:val="24"/>
          <w:szCs w:val="24"/>
          <w:lang w:bidi="en-US"/>
        </w:rPr>
        <w:t xml:space="preserve"> judgment of quality</w:t>
      </w:r>
      <w:r w:rsidRPr="00CD3919">
        <w:rPr>
          <w:rFonts w:asciiTheme="minorHAnsi" w:hAnsiTheme="minorHAnsi"/>
          <w:sz w:val="24"/>
          <w:szCs w:val="24"/>
          <w:lang w:bidi="en-US"/>
        </w:rPr>
        <w:t xml:space="preserve">. </w:t>
      </w:r>
      <w:r w:rsidR="000302EE">
        <w:rPr>
          <w:rFonts w:asciiTheme="minorHAnsi" w:hAnsiTheme="minorHAnsi"/>
          <w:sz w:val="24"/>
          <w:szCs w:val="24"/>
          <w:lang w:bidi="en-US"/>
        </w:rPr>
        <w:t xml:space="preserve">An edited volume will be deemed the equivalent of </w:t>
      </w:r>
      <w:r w:rsidR="00895A84">
        <w:rPr>
          <w:rFonts w:asciiTheme="minorHAnsi" w:hAnsiTheme="minorHAnsi"/>
          <w:sz w:val="24"/>
          <w:szCs w:val="24"/>
          <w:lang w:bidi="en-US"/>
        </w:rPr>
        <w:t xml:space="preserve">two </w:t>
      </w:r>
      <w:r w:rsidR="0042210B">
        <w:rPr>
          <w:rFonts w:asciiTheme="minorHAnsi" w:hAnsiTheme="minorHAnsi"/>
          <w:sz w:val="24"/>
          <w:szCs w:val="24"/>
          <w:lang w:bidi="en-US"/>
        </w:rPr>
        <w:t xml:space="preserve">to </w:t>
      </w:r>
      <w:r w:rsidR="00655834">
        <w:rPr>
          <w:rFonts w:asciiTheme="minorHAnsi" w:hAnsiTheme="minorHAnsi"/>
          <w:sz w:val="24"/>
          <w:szCs w:val="24"/>
          <w:lang w:bidi="en-US"/>
        </w:rPr>
        <w:t>three</w:t>
      </w:r>
      <w:r w:rsidR="00895A84">
        <w:rPr>
          <w:rFonts w:asciiTheme="minorHAnsi" w:hAnsiTheme="minorHAnsi"/>
          <w:sz w:val="24"/>
          <w:szCs w:val="24"/>
          <w:lang w:bidi="en-US"/>
        </w:rPr>
        <w:t xml:space="preserve"> </w:t>
      </w:r>
      <w:r w:rsidR="000302EE">
        <w:rPr>
          <w:rFonts w:asciiTheme="minorHAnsi" w:hAnsiTheme="minorHAnsi"/>
          <w:sz w:val="24"/>
          <w:szCs w:val="24"/>
          <w:lang w:bidi="en-US"/>
        </w:rPr>
        <w:t>articles</w:t>
      </w:r>
      <w:r w:rsidR="008455F4">
        <w:rPr>
          <w:rFonts w:asciiTheme="minorHAnsi" w:hAnsiTheme="minorHAnsi"/>
          <w:sz w:val="24"/>
          <w:szCs w:val="24"/>
          <w:lang w:bidi="en-US"/>
        </w:rPr>
        <w:t>, depending on the length of the book</w:t>
      </w:r>
      <w:r w:rsidR="000E10CB">
        <w:rPr>
          <w:rFonts w:asciiTheme="minorHAnsi" w:hAnsiTheme="minorHAnsi"/>
          <w:sz w:val="24"/>
          <w:szCs w:val="24"/>
          <w:lang w:bidi="en-US"/>
        </w:rPr>
        <w:t xml:space="preserve"> and/or committee</w:t>
      </w:r>
      <w:r w:rsidR="00895A84">
        <w:rPr>
          <w:rFonts w:asciiTheme="minorHAnsi" w:hAnsiTheme="minorHAnsi"/>
          <w:sz w:val="24"/>
          <w:szCs w:val="24"/>
          <w:lang w:bidi="en-US"/>
        </w:rPr>
        <w:t>’s</w:t>
      </w:r>
      <w:r w:rsidR="000E10CB">
        <w:rPr>
          <w:rFonts w:asciiTheme="minorHAnsi" w:hAnsiTheme="minorHAnsi"/>
          <w:sz w:val="24"/>
          <w:szCs w:val="24"/>
          <w:lang w:bidi="en-US"/>
        </w:rPr>
        <w:t xml:space="preserve"> judgment of quality</w:t>
      </w:r>
      <w:r w:rsidR="000302EE">
        <w:rPr>
          <w:rFonts w:asciiTheme="minorHAnsi" w:hAnsiTheme="minorHAnsi"/>
          <w:sz w:val="24"/>
          <w:szCs w:val="24"/>
          <w:lang w:bidi="en-US"/>
        </w:rPr>
        <w:t xml:space="preserve">. </w:t>
      </w:r>
      <w:r w:rsidRPr="00CD3919">
        <w:rPr>
          <w:rFonts w:asciiTheme="minorHAnsi" w:hAnsiTheme="minorHAnsi"/>
          <w:sz w:val="24"/>
          <w:szCs w:val="24"/>
          <w:lang w:bidi="en-US"/>
        </w:rPr>
        <w:t>Participation in refereed conferences and as an invited speaker will also be considered in the tenure review process.</w:t>
      </w:r>
      <w:r w:rsidR="001F7193">
        <w:rPr>
          <w:rFonts w:asciiTheme="minorHAnsi" w:hAnsiTheme="minorHAnsi"/>
          <w:sz w:val="24"/>
          <w:szCs w:val="24"/>
          <w:lang w:bidi="en-US"/>
        </w:rPr>
        <w:t xml:space="preserve"> </w:t>
      </w:r>
    </w:p>
    <w:p w14:paraId="22FA5C85" w14:textId="77777777" w:rsidR="001F7193" w:rsidRDefault="001F7193" w:rsidP="00930751">
      <w:pPr>
        <w:widowControl w:val="0"/>
        <w:autoSpaceDE w:val="0"/>
        <w:autoSpaceDN w:val="0"/>
        <w:adjustRightInd w:val="0"/>
        <w:rPr>
          <w:rFonts w:asciiTheme="minorHAnsi" w:hAnsiTheme="minorHAnsi"/>
          <w:sz w:val="24"/>
          <w:szCs w:val="24"/>
          <w:lang w:bidi="en-US"/>
        </w:rPr>
      </w:pPr>
    </w:p>
    <w:p w14:paraId="79BC2D39" w14:textId="77777777" w:rsidR="001F7193" w:rsidRPr="00CD3919" w:rsidRDefault="001F7193" w:rsidP="00930751">
      <w:pPr>
        <w:widowControl w:val="0"/>
        <w:autoSpaceDE w:val="0"/>
        <w:autoSpaceDN w:val="0"/>
        <w:adjustRightInd w:val="0"/>
        <w:rPr>
          <w:rFonts w:asciiTheme="minorHAnsi" w:hAnsiTheme="minorHAnsi"/>
          <w:sz w:val="24"/>
          <w:szCs w:val="24"/>
          <w:lang w:bidi="en-US"/>
        </w:rPr>
      </w:pPr>
      <w:r>
        <w:rPr>
          <w:rFonts w:asciiTheme="minorHAnsi" w:hAnsiTheme="minorHAnsi"/>
          <w:sz w:val="24"/>
          <w:szCs w:val="24"/>
          <w:lang w:bidi="en-US"/>
        </w:rPr>
        <w:t>The Department recognizes that the quality of different venues (e.g., journals and book publishers) may vary over time. Qualitative assessments will be made</w:t>
      </w:r>
      <w:r w:rsidR="00EC237D">
        <w:rPr>
          <w:rFonts w:asciiTheme="minorHAnsi" w:hAnsiTheme="minorHAnsi"/>
          <w:sz w:val="24"/>
          <w:szCs w:val="24"/>
          <w:lang w:bidi="en-US"/>
        </w:rPr>
        <w:t>, then,</w:t>
      </w:r>
      <w:r>
        <w:rPr>
          <w:rFonts w:asciiTheme="minorHAnsi" w:hAnsiTheme="minorHAnsi"/>
          <w:sz w:val="24"/>
          <w:szCs w:val="24"/>
          <w:lang w:bidi="en-US"/>
        </w:rPr>
        <w:t xml:space="preserve"> by taking into account several considerations</w:t>
      </w:r>
      <w:r w:rsidR="00535D48">
        <w:rPr>
          <w:rFonts w:asciiTheme="minorHAnsi" w:hAnsiTheme="minorHAnsi"/>
          <w:sz w:val="24"/>
          <w:szCs w:val="24"/>
          <w:lang w:bidi="en-US"/>
        </w:rPr>
        <w:t>,</w:t>
      </w:r>
      <w:r>
        <w:rPr>
          <w:rFonts w:asciiTheme="minorHAnsi" w:hAnsiTheme="minorHAnsi"/>
          <w:sz w:val="24"/>
          <w:szCs w:val="24"/>
          <w:lang w:bidi="en-US"/>
        </w:rPr>
        <w:t xml:space="preserve"> such as</w:t>
      </w:r>
      <w:r w:rsidR="00535D48">
        <w:rPr>
          <w:rFonts w:asciiTheme="minorHAnsi" w:hAnsiTheme="minorHAnsi"/>
          <w:sz w:val="24"/>
          <w:szCs w:val="24"/>
          <w:lang w:bidi="en-US"/>
        </w:rPr>
        <w:t>,</w:t>
      </w:r>
      <w:r>
        <w:rPr>
          <w:rFonts w:asciiTheme="minorHAnsi" w:hAnsiTheme="minorHAnsi"/>
          <w:sz w:val="24"/>
          <w:szCs w:val="24"/>
          <w:lang w:bidi="en-US"/>
        </w:rPr>
        <w:t xml:space="preserve"> external expert reviewers, acceptance rates</w:t>
      </w:r>
      <w:r w:rsidR="0042210B">
        <w:rPr>
          <w:rFonts w:asciiTheme="minorHAnsi" w:hAnsiTheme="minorHAnsi"/>
          <w:sz w:val="24"/>
          <w:szCs w:val="24"/>
          <w:lang w:bidi="en-US"/>
        </w:rPr>
        <w:t xml:space="preserve"> (preferably 15% or less for a first tier venue)</w:t>
      </w:r>
      <w:r w:rsidR="00BB7F6D">
        <w:rPr>
          <w:rFonts w:asciiTheme="minorHAnsi" w:hAnsiTheme="minorHAnsi"/>
          <w:sz w:val="24"/>
          <w:szCs w:val="24"/>
          <w:lang w:bidi="en-US"/>
        </w:rPr>
        <w:t xml:space="preserve">, </w:t>
      </w:r>
      <w:r w:rsidR="00BB7F6D" w:rsidRPr="00A81EA1">
        <w:rPr>
          <w:rFonts w:asciiTheme="minorHAnsi" w:hAnsiTheme="minorHAnsi"/>
          <w:sz w:val="24"/>
          <w:szCs w:val="24"/>
          <w:lang w:bidi="en-US"/>
        </w:rPr>
        <w:t>quality indicators from citation indexes</w:t>
      </w:r>
      <w:r w:rsidRPr="00A81EA1">
        <w:rPr>
          <w:rFonts w:asciiTheme="minorHAnsi" w:hAnsiTheme="minorHAnsi"/>
          <w:sz w:val="24"/>
          <w:szCs w:val="24"/>
          <w:lang w:bidi="en-US"/>
        </w:rPr>
        <w:t>,</w:t>
      </w:r>
      <w:r>
        <w:rPr>
          <w:rFonts w:asciiTheme="minorHAnsi" w:hAnsiTheme="minorHAnsi"/>
          <w:sz w:val="24"/>
          <w:szCs w:val="24"/>
          <w:lang w:bidi="en-US"/>
        </w:rPr>
        <w:t xml:space="preserve"> </w:t>
      </w:r>
      <w:r w:rsidR="00AB0319">
        <w:rPr>
          <w:rFonts w:asciiTheme="minorHAnsi" w:hAnsiTheme="minorHAnsi"/>
          <w:sz w:val="24"/>
          <w:szCs w:val="24"/>
          <w:lang w:bidi="en-US"/>
        </w:rPr>
        <w:t xml:space="preserve">and </w:t>
      </w:r>
      <w:r w:rsidR="00294553">
        <w:rPr>
          <w:rFonts w:asciiTheme="minorHAnsi" w:hAnsiTheme="minorHAnsi"/>
          <w:sz w:val="24"/>
          <w:szCs w:val="24"/>
          <w:lang w:bidi="en-US"/>
        </w:rPr>
        <w:t>the timeliness of the work</w:t>
      </w:r>
      <w:r>
        <w:rPr>
          <w:rFonts w:asciiTheme="minorHAnsi" w:hAnsiTheme="minorHAnsi"/>
          <w:sz w:val="24"/>
          <w:szCs w:val="24"/>
          <w:lang w:bidi="en-US"/>
        </w:rPr>
        <w:t xml:space="preserve">. </w:t>
      </w:r>
    </w:p>
    <w:p w14:paraId="431FD02A" w14:textId="77777777" w:rsidR="00930751" w:rsidRPr="00CD3919" w:rsidRDefault="00930751" w:rsidP="00930751">
      <w:pPr>
        <w:widowControl w:val="0"/>
        <w:autoSpaceDE w:val="0"/>
        <w:autoSpaceDN w:val="0"/>
        <w:adjustRightInd w:val="0"/>
        <w:rPr>
          <w:rFonts w:asciiTheme="minorHAnsi" w:hAnsiTheme="minorHAnsi"/>
          <w:sz w:val="24"/>
          <w:szCs w:val="24"/>
          <w:lang w:bidi="en-US"/>
        </w:rPr>
      </w:pPr>
    </w:p>
    <w:p w14:paraId="3681C56F" w14:textId="25F329CB" w:rsidR="00930751" w:rsidRPr="00A81EA1" w:rsidRDefault="00930751" w:rsidP="00930751">
      <w:pPr>
        <w:widowControl w:val="0"/>
        <w:autoSpaceDE w:val="0"/>
        <w:autoSpaceDN w:val="0"/>
        <w:adjustRightInd w:val="0"/>
        <w:rPr>
          <w:rFonts w:asciiTheme="minorHAnsi" w:hAnsiTheme="minorHAnsi"/>
          <w:sz w:val="24"/>
          <w:szCs w:val="24"/>
          <w:lang w:bidi="en-US"/>
        </w:rPr>
      </w:pPr>
      <w:r w:rsidRPr="00CD3919">
        <w:rPr>
          <w:rFonts w:asciiTheme="minorHAnsi" w:hAnsiTheme="minorHAnsi"/>
          <w:bCs/>
          <w:sz w:val="24"/>
          <w:szCs w:val="24"/>
          <w:lang w:bidi="en-US"/>
        </w:rPr>
        <w:t xml:space="preserve">2. Teaching: </w:t>
      </w:r>
      <w:r w:rsidR="000F6BA7" w:rsidRPr="000F6BA7">
        <w:rPr>
          <w:rFonts w:asciiTheme="minorHAnsi" w:hAnsiTheme="minorHAnsi"/>
          <w:bCs/>
          <w:sz w:val="24"/>
          <w:szCs w:val="24"/>
          <w:lang w:bidi="en-US"/>
        </w:rPr>
        <w:t xml:space="preserve">Develop a consistent record of high-quality teaching responsive both to the educational needs of students and to the curricular and scheduling needs of the department. </w:t>
      </w:r>
      <w:r w:rsidR="00BB7F6D" w:rsidRPr="00A81EA1">
        <w:rPr>
          <w:rFonts w:asciiTheme="minorHAnsi" w:hAnsiTheme="minorHAnsi"/>
          <w:bCs/>
          <w:sz w:val="24"/>
          <w:szCs w:val="24"/>
          <w:lang w:bidi="en-US"/>
        </w:rPr>
        <w:t>The statistical teaching performance of the candidate for promotion and tenure should be around or above the Departmental mean</w:t>
      </w:r>
      <w:r w:rsidR="000F6BA7" w:rsidRPr="00A81EA1">
        <w:rPr>
          <w:rFonts w:asciiTheme="minorHAnsi" w:hAnsiTheme="minorHAnsi"/>
          <w:bCs/>
          <w:sz w:val="24"/>
          <w:szCs w:val="24"/>
          <w:lang w:bidi="en-US"/>
        </w:rPr>
        <w:t xml:space="preserve"> in both graduate and undergraduate courses</w:t>
      </w:r>
      <w:r w:rsidR="00BB7F6D" w:rsidRPr="00A81EA1">
        <w:rPr>
          <w:rFonts w:asciiTheme="minorHAnsi" w:hAnsiTheme="minorHAnsi"/>
          <w:bCs/>
          <w:sz w:val="24"/>
          <w:szCs w:val="24"/>
          <w:lang w:bidi="en-US"/>
        </w:rPr>
        <w:t xml:space="preserve">. There should also be favorable written student evaluations.  </w:t>
      </w:r>
      <w:r w:rsidR="00BB7F6D" w:rsidRPr="00A81EA1">
        <w:rPr>
          <w:rFonts w:asciiTheme="minorHAnsi" w:hAnsiTheme="minorHAnsi"/>
          <w:bCs/>
          <w:sz w:val="24"/>
          <w:szCs w:val="24"/>
          <w:lang w:bidi="en-US"/>
        </w:rPr>
        <w:lastRenderedPageBreak/>
        <w:t>Statistical performance and student evaluations will be viewed in conjunction with the candidate’s grading policies and outcomes, to insude that high ratings are not influenced by grade inflation.  Evaluations by peer reviewers and the candidate’s teaching portfolio may also be included for review.  Preferably, the candidate should have served as a dissertation committee member for at least one graduate student.</w:t>
      </w:r>
    </w:p>
    <w:p w14:paraId="2B7FF590" w14:textId="77777777" w:rsidR="00930751" w:rsidRPr="00CD3919" w:rsidRDefault="00930751" w:rsidP="00930751">
      <w:pPr>
        <w:widowControl w:val="0"/>
        <w:autoSpaceDE w:val="0"/>
        <w:autoSpaceDN w:val="0"/>
        <w:adjustRightInd w:val="0"/>
        <w:rPr>
          <w:rFonts w:asciiTheme="minorHAnsi" w:hAnsiTheme="minorHAnsi"/>
          <w:sz w:val="24"/>
          <w:szCs w:val="24"/>
          <w:lang w:bidi="en-US"/>
        </w:rPr>
      </w:pPr>
    </w:p>
    <w:p w14:paraId="66FC5EAA" w14:textId="77777777" w:rsidR="00821F48" w:rsidRDefault="00930751" w:rsidP="00930751">
      <w:pPr>
        <w:widowControl w:val="0"/>
        <w:autoSpaceDE w:val="0"/>
        <w:autoSpaceDN w:val="0"/>
        <w:adjustRightInd w:val="0"/>
        <w:rPr>
          <w:rFonts w:asciiTheme="minorHAnsi" w:hAnsiTheme="minorHAnsi"/>
          <w:sz w:val="24"/>
          <w:szCs w:val="24"/>
          <w:lang w:bidi="en-US"/>
        </w:rPr>
      </w:pPr>
      <w:r w:rsidRPr="00CD3919">
        <w:rPr>
          <w:rFonts w:asciiTheme="minorHAnsi" w:hAnsiTheme="minorHAnsi"/>
          <w:bCs/>
          <w:sz w:val="24"/>
          <w:szCs w:val="24"/>
          <w:lang w:bidi="en-US"/>
        </w:rPr>
        <w:t xml:space="preserve">3. Service: </w:t>
      </w:r>
      <w:r w:rsidR="00821F48" w:rsidRPr="00821F48">
        <w:rPr>
          <w:rFonts w:asciiTheme="minorHAnsi" w:hAnsiTheme="minorHAnsi"/>
          <w:bCs/>
          <w:sz w:val="24"/>
          <w:szCs w:val="24"/>
          <w:lang w:bidi="en-US"/>
        </w:rPr>
        <w:t>Develop a record of high-quality service consistent in quantity with the candidate’s workload assignments and attentive to departmental needs as determined by the chair and the</w:t>
      </w:r>
      <w:r w:rsidR="00532C10">
        <w:rPr>
          <w:rFonts w:asciiTheme="minorHAnsi" w:hAnsiTheme="minorHAnsi"/>
          <w:bCs/>
          <w:sz w:val="24"/>
          <w:szCs w:val="24"/>
          <w:lang w:bidi="en-US"/>
        </w:rPr>
        <w:t xml:space="preserve"> PAC</w:t>
      </w:r>
      <w:r w:rsidR="00821F48" w:rsidRPr="00821F48">
        <w:rPr>
          <w:rFonts w:asciiTheme="minorHAnsi" w:hAnsiTheme="minorHAnsi"/>
          <w:bCs/>
          <w:sz w:val="24"/>
          <w:szCs w:val="24"/>
          <w:lang w:bidi="en-US"/>
        </w:rPr>
        <w:t>.  The candidate must show that he or she is a reliable departmental citizen, someone w</w:t>
      </w:r>
      <w:r w:rsidR="00D02194">
        <w:rPr>
          <w:rFonts w:asciiTheme="minorHAnsi" w:hAnsiTheme="minorHAnsi"/>
          <w:bCs/>
          <w:sz w:val="24"/>
          <w:szCs w:val="24"/>
          <w:lang w:bidi="en-US"/>
        </w:rPr>
        <w:t xml:space="preserve">ho is willing </w:t>
      </w:r>
      <w:r w:rsidR="00142B77">
        <w:rPr>
          <w:rFonts w:asciiTheme="minorHAnsi" w:hAnsiTheme="minorHAnsi"/>
          <w:sz w:val="24"/>
          <w:szCs w:val="24"/>
          <w:lang w:bidi="en-US"/>
        </w:rPr>
        <w:t xml:space="preserve">to serve on committees, </w:t>
      </w:r>
      <w:r w:rsidR="00D02194">
        <w:rPr>
          <w:rFonts w:asciiTheme="minorHAnsi" w:hAnsiTheme="minorHAnsi"/>
          <w:sz w:val="24"/>
          <w:szCs w:val="24"/>
          <w:lang w:bidi="en-US"/>
        </w:rPr>
        <w:t xml:space="preserve">tend </w:t>
      </w:r>
      <w:r w:rsidR="00142B77" w:rsidRPr="005D733E">
        <w:rPr>
          <w:rFonts w:asciiTheme="minorHAnsi" w:hAnsiTheme="minorHAnsi"/>
          <w:bCs/>
          <w:sz w:val="24"/>
          <w:szCs w:val="24"/>
          <w:lang w:bidi="en-US"/>
        </w:rPr>
        <w:t>to the curricular and scheduling needs of the department</w:t>
      </w:r>
      <w:r w:rsidR="00D02194">
        <w:rPr>
          <w:rFonts w:asciiTheme="minorHAnsi" w:hAnsiTheme="minorHAnsi"/>
          <w:sz w:val="24"/>
          <w:szCs w:val="24"/>
          <w:lang w:bidi="en-US"/>
        </w:rPr>
        <w:t>, and work amicably with others.</w:t>
      </w:r>
      <w:r w:rsidR="00A2064A">
        <w:rPr>
          <w:rFonts w:asciiTheme="minorHAnsi" w:hAnsiTheme="minorHAnsi"/>
          <w:sz w:val="24"/>
          <w:szCs w:val="24"/>
          <w:lang w:bidi="en-US"/>
        </w:rPr>
        <w:t xml:space="preserve"> Service </w:t>
      </w:r>
      <w:r w:rsidR="00A2064A" w:rsidRPr="00CD3919">
        <w:rPr>
          <w:rFonts w:asciiTheme="minorHAnsi" w:hAnsiTheme="minorHAnsi"/>
          <w:sz w:val="24"/>
          <w:szCs w:val="24"/>
          <w:lang w:bidi="en-US"/>
        </w:rPr>
        <w:t>activities might include</w:t>
      </w:r>
      <w:r w:rsidR="00A2064A">
        <w:rPr>
          <w:rFonts w:asciiTheme="minorHAnsi" w:hAnsiTheme="minorHAnsi"/>
          <w:sz w:val="24"/>
          <w:szCs w:val="24"/>
          <w:lang w:bidi="en-US"/>
        </w:rPr>
        <w:t xml:space="preserve"> involvement in </w:t>
      </w:r>
      <w:r w:rsidR="00A2064A" w:rsidRPr="00CD3919">
        <w:rPr>
          <w:rFonts w:asciiTheme="minorHAnsi" w:hAnsiTheme="minorHAnsi"/>
          <w:sz w:val="24"/>
          <w:szCs w:val="24"/>
          <w:lang w:bidi="en-US"/>
        </w:rPr>
        <w:t xml:space="preserve">interdisciplinary </w:t>
      </w:r>
      <w:r w:rsidR="00A2064A">
        <w:rPr>
          <w:rFonts w:asciiTheme="minorHAnsi" w:hAnsiTheme="minorHAnsi"/>
          <w:sz w:val="24"/>
          <w:szCs w:val="24"/>
          <w:lang w:bidi="en-US"/>
        </w:rPr>
        <w:t xml:space="preserve">and collaborative </w:t>
      </w:r>
      <w:r w:rsidR="00A2064A" w:rsidRPr="00CD3919">
        <w:rPr>
          <w:rFonts w:asciiTheme="minorHAnsi" w:hAnsiTheme="minorHAnsi"/>
          <w:sz w:val="24"/>
          <w:szCs w:val="24"/>
          <w:lang w:bidi="en-US"/>
        </w:rPr>
        <w:t xml:space="preserve">projects aimed at applying philosophy within the context of other scholarly, scientific, professional </w:t>
      </w:r>
      <w:r w:rsidR="00A2064A">
        <w:rPr>
          <w:rFonts w:asciiTheme="minorHAnsi" w:hAnsiTheme="minorHAnsi"/>
          <w:sz w:val="24"/>
          <w:szCs w:val="24"/>
          <w:lang w:bidi="en-US"/>
        </w:rPr>
        <w:t>and community activities</w:t>
      </w:r>
      <w:r w:rsidR="00A2064A" w:rsidRPr="00CD3919">
        <w:rPr>
          <w:rFonts w:asciiTheme="minorHAnsi" w:hAnsiTheme="minorHAnsi"/>
          <w:sz w:val="24"/>
          <w:szCs w:val="24"/>
          <w:lang w:bidi="en-US"/>
        </w:rPr>
        <w:t>.</w:t>
      </w:r>
    </w:p>
    <w:p w14:paraId="7AC8994A" w14:textId="77777777" w:rsidR="00930751" w:rsidRPr="00CD3919" w:rsidRDefault="00D02194" w:rsidP="00930751">
      <w:pPr>
        <w:widowControl w:val="0"/>
        <w:autoSpaceDE w:val="0"/>
        <w:autoSpaceDN w:val="0"/>
        <w:adjustRightInd w:val="0"/>
        <w:rPr>
          <w:rFonts w:asciiTheme="minorHAnsi" w:hAnsiTheme="minorHAnsi"/>
          <w:sz w:val="24"/>
          <w:szCs w:val="24"/>
          <w:lang w:bidi="en-US"/>
        </w:rPr>
      </w:pPr>
      <w:r>
        <w:rPr>
          <w:rFonts w:asciiTheme="minorHAnsi" w:hAnsiTheme="minorHAnsi"/>
          <w:sz w:val="24"/>
          <w:szCs w:val="24"/>
          <w:lang w:bidi="en-US"/>
        </w:rPr>
        <w:t xml:space="preserve"> </w:t>
      </w:r>
    </w:p>
    <w:p w14:paraId="7CAD9D8C" w14:textId="77777777" w:rsidR="00930751" w:rsidRPr="00CD3919" w:rsidRDefault="00930751" w:rsidP="00930751">
      <w:pPr>
        <w:widowControl w:val="0"/>
        <w:autoSpaceDE w:val="0"/>
        <w:autoSpaceDN w:val="0"/>
        <w:adjustRightInd w:val="0"/>
        <w:rPr>
          <w:rFonts w:asciiTheme="minorHAnsi" w:hAnsiTheme="minorHAnsi"/>
          <w:sz w:val="24"/>
          <w:szCs w:val="24"/>
          <w:lang w:bidi="en-US"/>
        </w:rPr>
      </w:pPr>
      <w:r w:rsidRPr="00CD3919">
        <w:rPr>
          <w:rFonts w:asciiTheme="minorHAnsi" w:hAnsiTheme="minorHAnsi"/>
          <w:bCs/>
          <w:i/>
          <w:sz w:val="24"/>
          <w:szCs w:val="24"/>
          <w:lang w:bidi="en-US"/>
        </w:rPr>
        <w:t xml:space="preserve">B. </w:t>
      </w:r>
      <w:r w:rsidRPr="00CD3919">
        <w:rPr>
          <w:rFonts w:asciiTheme="minorHAnsi" w:hAnsiTheme="minorHAnsi"/>
          <w:b/>
          <w:bCs/>
          <w:i/>
          <w:sz w:val="24"/>
          <w:szCs w:val="24"/>
          <w:lang w:bidi="en-US"/>
        </w:rPr>
        <w:t>Promotion to Professor</w:t>
      </w:r>
      <w:r w:rsidRPr="00CD3919">
        <w:rPr>
          <w:rFonts w:asciiTheme="minorHAnsi" w:hAnsiTheme="minorHAnsi"/>
          <w:bCs/>
          <w:i/>
          <w:sz w:val="24"/>
          <w:szCs w:val="24"/>
          <w:lang w:bidi="en-US"/>
        </w:rPr>
        <w:t xml:space="preserve">:  </w:t>
      </w:r>
      <w:r w:rsidRPr="00CD3919">
        <w:rPr>
          <w:rFonts w:asciiTheme="minorHAnsi" w:hAnsiTheme="minorHAnsi"/>
          <w:sz w:val="24"/>
          <w:szCs w:val="24"/>
          <w:lang w:bidi="en-US"/>
        </w:rPr>
        <w:t xml:space="preserve">Candidates for Professor must demonstrate </w:t>
      </w:r>
      <w:r w:rsidR="003123F7">
        <w:rPr>
          <w:rFonts w:asciiTheme="minorHAnsi" w:hAnsiTheme="minorHAnsi"/>
          <w:sz w:val="24"/>
          <w:szCs w:val="24"/>
          <w:lang w:bidi="en-US"/>
        </w:rPr>
        <w:t>sustained excellence</w:t>
      </w:r>
      <w:r w:rsidR="003123F7" w:rsidRPr="00CD3919">
        <w:rPr>
          <w:rFonts w:asciiTheme="minorHAnsi" w:hAnsiTheme="minorHAnsi"/>
          <w:sz w:val="24"/>
          <w:szCs w:val="24"/>
          <w:lang w:bidi="en-US"/>
        </w:rPr>
        <w:t xml:space="preserve"> </w:t>
      </w:r>
      <w:r w:rsidRPr="00CD3919">
        <w:rPr>
          <w:rFonts w:asciiTheme="minorHAnsi" w:hAnsiTheme="minorHAnsi"/>
          <w:sz w:val="24"/>
          <w:szCs w:val="24"/>
          <w:lang w:bidi="en-US"/>
        </w:rPr>
        <w:t xml:space="preserve">in research, teaching, and service. </w:t>
      </w:r>
    </w:p>
    <w:p w14:paraId="2B81F2D4" w14:textId="77777777" w:rsidR="00930751" w:rsidRPr="00CD3919" w:rsidRDefault="00930751" w:rsidP="00930751">
      <w:pPr>
        <w:widowControl w:val="0"/>
        <w:autoSpaceDE w:val="0"/>
        <w:autoSpaceDN w:val="0"/>
        <w:adjustRightInd w:val="0"/>
        <w:rPr>
          <w:rFonts w:asciiTheme="minorHAnsi" w:hAnsiTheme="minorHAnsi"/>
          <w:sz w:val="24"/>
          <w:szCs w:val="24"/>
          <w:lang w:bidi="en-US"/>
        </w:rPr>
      </w:pPr>
    </w:p>
    <w:p w14:paraId="334D894E" w14:textId="77777777" w:rsidR="00930751" w:rsidRPr="00CD3919" w:rsidRDefault="00930751" w:rsidP="00930751">
      <w:pPr>
        <w:widowControl w:val="0"/>
        <w:autoSpaceDE w:val="0"/>
        <w:autoSpaceDN w:val="0"/>
        <w:adjustRightInd w:val="0"/>
        <w:rPr>
          <w:rFonts w:asciiTheme="minorHAnsi" w:hAnsiTheme="minorHAnsi"/>
          <w:sz w:val="24"/>
          <w:szCs w:val="24"/>
          <w:lang w:bidi="en-US"/>
        </w:rPr>
      </w:pPr>
      <w:r w:rsidRPr="00CD3919">
        <w:rPr>
          <w:rFonts w:asciiTheme="minorHAnsi" w:hAnsiTheme="minorHAnsi"/>
          <w:sz w:val="24"/>
          <w:szCs w:val="24"/>
          <w:lang w:bidi="en-US"/>
        </w:rPr>
        <w:t xml:space="preserve">The candidate for promotion to Professor is expected to meet and exceed the standards required for tenure and promotion to Associate Professor. </w:t>
      </w:r>
      <w:r w:rsidR="000C7CD4">
        <w:rPr>
          <w:rFonts w:asciiTheme="minorHAnsi" w:hAnsiTheme="minorHAnsi"/>
          <w:sz w:val="24"/>
          <w:szCs w:val="24"/>
          <w:lang w:bidi="en-US"/>
        </w:rPr>
        <w:t>I</w:t>
      </w:r>
      <w:r w:rsidR="000C7CD4" w:rsidRPr="00CD3919">
        <w:rPr>
          <w:rFonts w:asciiTheme="minorHAnsi" w:hAnsiTheme="minorHAnsi"/>
          <w:sz w:val="24"/>
          <w:szCs w:val="24"/>
          <w:lang w:bidi="en-US"/>
        </w:rPr>
        <w:t xml:space="preserve">ndications of the candidate’s regional and </w:t>
      </w:r>
      <w:r w:rsidR="009A5AF4">
        <w:rPr>
          <w:rFonts w:asciiTheme="minorHAnsi" w:hAnsiTheme="minorHAnsi"/>
          <w:sz w:val="24"/>
          <w:szCs w:val="24"/>
          <w:lang w:bidi="en-US"/>
        </w:rPr>
        <w:t>(inter)</w:t>
      </w:r>
      <w:r w:rsidR="000C7CD4" w:rsidRPr="00CD3919">
        <w:rPr>
          <w:rFonts w:asciiTheme="minorHAnsi" w:hAnsiTheme="minorHAnsi"/>
          <w:sz w:val="24"/>
          <w:szCs w:val="24"/>
          <w:lang w:bidi="en-US"/>
        </w:rPr>
        <w:t>national reputation and of his or her contribution to research and scholarship</w:t>
      </w:r>
      <w:r w:rsidR="000C7CD4">
        <w:rPr>
          <w:rFonts w:asciiTheme="minorHAnsi" w:hAnsiTheme="minorHAnsi"/>
          <w:sz w:val="24"/>
          <w:szCs w:val="24"/>
          <w:lang w:bidi="en-US"/>
        </w:rPr>
        <w:t>, may include p</w:t>
      </w:r>
      <w:r w:rsidRPr="00CD3919">
        <w:rPr>
          <w:rFonts w:asciiTheme="minorHAnsi" w:hAnsiTheme="minorHAnsi"/>
          <w:sz w:val="24"/>
          <w:szCs w:val="24"/>
          <w:lang w:bidi="en-US"/>
        </w:rPr>
        <w:t xml:space="preserve">articipation in conferences, workshops, and scholarly meetings, as well as invited lectures to other </w:t>
      </w:r>
      <w:r w:rsidR="000C7CD4">
        <w:rPr>
          <w:rFonts w:asciiTheme="minorHAnsi" w:hAnsiTheme="minorHAnsi"/>
          <w:sz w:val="24"/>
          <w:szCs w:val="24"/>
          <w:lang w:bidi="en-US"/>
        </w:rPr>
        <w:t>academic institutions</w:t>
      </w:r>
      <w:r w:rsidR="008C339E">
        <w:rPr>
          <w:rFonts w:asciiTheme="minorHAnsi" w:hAnsiTheme="minorHAnsi"/>
          <w:sz w:val="24"/>
          <w:szCs w:val="24"/>
          <w:lang w:bidi="en-US"/>
        </w:rPr>
        <w:t xml:space="preserve">. </w:t>
      </w:r>
      <w:r w:rsidRPr="00CD3919">
        <w:rPr>
          <w:rFonts w:asciiTheme="minorHAnsi" w:hAnsiTheme="minorHAnsi"/>
          <w:sz w:val="24"/>
          <w:szCs w:val="24"/>
          <w:lang w:bidi="en-US"/>
        </w:rPr>
        <w:t xml:space="preserve"> </w:t>
      </w:r>
      <w:r w:rsidR="008C339E">
        <w:rPr>
          <w:rFonts w:asciiTheme="minorHAnsi" w:hAnsiTheme="minorHAnsi"/>
          <w:sz w:val="24"/>
          <w:szCs w:val="24"/>
          <w:lang w:bidi="en-US"/>
        </w:rPr>
        <w:t>Invited p</w:t>
      </w:r>
      <w:r w:rsidR="00E64989">
        <w:rPr>
          <w:rFonts w:asciiTheme="minorHAnsi" w:hAnsiTheme="minorHAnsi"/>
          <w:sz w:val="24"/>
          <w:szCs w:val="24"/>
          <w:lang w:bidi="en-US"/>
        </w:rPr>
        <w:t xml:space="preserve">ublic lectures and non-academic engagements </w:t>
      </w:r>
      <w:r w:rsidR="008C339E">
        <w:rPr>
          <w:rFonts w:asciiTheme="minorHAnsi" w:hAnsiTheme="minorHAnsi"/>
          <w:sz w:val="24"/>
          <w:szCs w:val="24"/>
          <w:lang w:bidi="en-US"/>
        </w:rPr>
        <w:t>may also be considered.</w:t>
      </w:r>
      <w:r w:rsidR="00AB7280">
        <w:rPr>
          <w:rFonts w:asciiTheme="minorHAnsi" w:hAnsiTheme="minorHAnsi"/>
          <w:sz w:val="24"/>
          <w:szCs w:val="24"/>
          <w:lang w:bidi="en-US"/>
        </w:rPr>
        <w:t xml:space="preserve"> </w:t>
      </w:r>
    </w:p>
    <w:p w14:paraId="40994A74" w14:textId="77777777" w:rsidR="00930751" w:rsidRPr="00CD3919" w:rsidRDefault="00930751" w:rsidP="00930751">
      <w:pPr>
        <w:widowControl w:val="0"/>
        <w:autoSpaceDE w:val="0"/>
        <w:autoSpaceDN w:val="0"/>
        <w:adjustRightInd w:val="0"/>
        <w:rPr>
          <w:rFonts w:asciiTheme="minorHAnsi" w:hAnsiTheme="minorHAnsi"/>
          <w:sz w:val="24"/>
          <w:szCs w:val="24"/>
          <w:lang w:bidi="en-US"/>
        </w:rPr>
      </w:pPr>
    </w:p>
    <w:p w14:paraId="53CA2B2B" w14:textId="77777777" w:rsidR="00930751" w:rsidRPr="00CD3919" w:rsidRDefault="00930751" w:rsidP="00930751">
      <w:pPr>
        <w:ind w:left="20"/>
        <w:rPr>
          <w:rFonts w:asciiTheme="minorHAnsi" w:hAnsiTheme="minorHAnsi"/>
          <w:sz w:val="24"/>
          <w:szCs w:val="24"/>
          <w:lang w:bidi="en-US"/>
        </w:rPr>
      </w:pPr>
      <w:r w:rsidRPr="00CD3919">
        <w:rPr>
          <w:rFonts w:asciiTheme="minorHAnsi" w:hAnsiTheme="minorHAnsi"/>
          <w:sz w:val="24"/>
          <w:szCs w:val="24"/>
          <w:lang w:bidi="en-US"/>
        </w:rPr>
        <w:t>The candidate should have participated effectively in Departmental, College, and University service</w:t>
      </w:r>
      <w:r w:rsidR="007C442B">
        <w:rPr>
          <w:rFonts w:asciiTheme="minorHAnsi" w:hAnsiTheme="minorHAnsi"/>
          <w:sz w:val="24"/>
          <w:szCs w:val="24"/>
          <w:lang w:bidi="en-US"/>
        </w:rPr>
        <w:t xml:space="preserve">. </w:t>
      </w:r>
      <w:r w:rsidRPr="00CD3919">
        <w:rPr>
          <w:rFonts w:asciiTheme="minorHAnsi" w:hAnsiTheme="minorHAnsi"/>
          <w:sz w:val="24"/>
          <w:szCs w:val="24"/>
          <w:lang w:bidi="en-US"/>
        </w:rPr>
        <w:t xml:space="preserve">Significant participation in regional, national, and international organizations </w:t>
      </w:r>
      <w:r w:rsidR="008E0A50">
        <w:rPr>
          <w:rFonts w:asciiTheme="minorHAnsi" w:hAnsiTheme="minorHAnsi"/>
          <w:sz w:val="24"/>
          <w:szCs w:val="24"/>
          <w:lang w:bidi="en-US"/>
        </w:rPr>
        <w:t xml:space="preserve">and scholarly societies </w:t>
      </w:r>
      <w:r w:rsidRPr="00CD3919">
        <w:rPr>
          <w:rFonts w:asciiTheme="minorHAnsi" w:hAnsiTheme="minorHAnsi"/>
          <w:sz w:val="24"/>
          <w:szCs w:val="24"/>
          <w:lang w:bidi="en-US"/>
        </w:rPr>
        <w:t>related to the candidate's specialty will also be favorably considered.</w:t>
      </w:r>
    </w:p>
    <w:p w14:paraId="0DE6E119" w14:textId="77777777" w:rsidR="00930751" w:rsidRPr="00CD3919" w:rsidRDefault="00930751" w:rsidP="00930751">
      <w:pPr>
        <w:ind w:left="20" w:firstLine="700"/>
        <w:rPr>
          <w:rFonts w:asciiTheme="minorHAnsi" w:hAnsiTheme="minorHAnsi"/>
          <w:sz w:val="24"/>
          <w:szCs w:val="24"/>
          <w:lang w:bidi="en-US"/>
        </w:rPr>
      </w:pPr>
    </w:p>
    <w:p w14:paraId="6D5632B4" w14:textId="77777777" w:rsidR="00C86880" w:rsidRDefault="00930751" w:rsidP="00C86880">
      <w:pPr>
        <w:rPr>
          <w:rFonts w:asciiTheme="minorHAnsi" w:hAnsiTheme="minorHAnsi"/>
          <w:color w:val="000000"/>
          <w:sz w:val="24"/>
          <w:szCs w:val="24"/>
        </w:rPr>
      </w:pPr>
      <w:r w:rsidRPr="00CD3919">
        <w:rPr>
          <w:rFonts w:asciiTheme="minorHAnsi" w:hAnsiTheme="minorHAnsi"/>
          <w:i/>
          <w:color w:val="000000"/>
          <w:sz w:val="24"/>
          <w:szCs w:val="24"/>
        </w:rPr>
        <w:t xml:space="preserve">C. </w:t>
      </w:r>
      <w:r w:rsidRPr="00CD3919">
        <w:rPr>
          <w:rFonts w:asciiTheme="minorHAnsi" w:hAnsiTheme="minorHAnsi"/>
          <w:b/>
          <w:i/>
          <w:color w:val="000000"/>
          <w:sz w:val="24"/>
          <w:szCs w:val="24"/>
        </w:rPr>
        <w:t>Tenure and Promotion Procedures</w:t>
      </w:r>
      <w:r w:rsidRPr="00CD3919">
        <w:rPr>
          <w:rFonts w:asciiTheme="minorHAnsi" w:hAnsiTheme="minorHAnsi"/>
          <w:color w:val="000000"/>
          <w:sz w:val="24"/>
          <w:szCs w:val="24"/>
        </w:rPr>
        <w:t xml:space="preserve">:  </w:t>
      </w:r>
      <w:r w:rsidR="00097156">
        <w:rPr>
          <w:rFonts w:asciiTheme="minorHAnsi" w:hAnsiTheme="minorHAnsi"/>
          <w:color w:val="000000"/>
          <w:sz w:val="24"/>
          <w:szCs w:val="24"/>
        </w:rPr>
        <w:t>Candidates for tenure will be evaluated each year by the department PAC; the third year review will be more extensive and formal (see Univer</w:t>
      </w:r>
      <w:r w:rsidR="0057103D">
        <w:rPr>
          <w:rFonts w:asciiTheme="minorHAnsi" w:hAnsiTheme="minorHAnsi"/>
          <w:color w:val="000000"/>
          <w:sz w:val="24"/>
          <w:szCs w:val="24"/>
        </w:rPr>
        <w:t>sity</w:t>
      </w:r>
      <w:r w:rsidR="00097156">
        <w:rPr>
          <w:rFonts w:asciiTheme="minorHAnsi" w:hAnsiTheme="minorHAnsi"/>
          <w:color w:val="000000"/>
          <w:sz w:val="24"/>
          <w:szCs w:val="24"/>
        </w:rPr>
        <w:t xml:space="preserve"> policy for further information regarding this review process).  </w:t>
      </w:r>
      <w:r w:rsidRPr="00CD3919">
        <w:rPr>
          <w:rFonts w:asciiTheme="minorHAnsi" w:hAnsiTheme="minorHAnsi"/>
          <w:color w:val="000000"/>
          <w:sz w:val="24"/>
          <w:szCs w:val="24"/>
        </w:rPr>
        <w:t xml:space="preserve">The College of </w:t>
      </w:r>
      <w:r w:rsidR="001F0E96">
        <w:rPr>
          <w:rFonts w:asciiTheme="minorHAnsi" w:hAnsiTheme="minorHAnsi"/>
          <w:color w:val="000000"/>
          <w:sz w:val="24"/>
          <w:szCs w:val="24"/>
        </w:rPr>
        <w:t xml:space="preserve">Liberal </w:t>
      </w:r>
      <w:r w:rsidRPr="00CD3919">
        <w:rPr>
          <w:rFonts w:asciiTheme="minorHAnsi" w:hAnsiTheme="minorHAnsi"/>
          <w:color w:val="000000"/>
          <w:sz w:val="24"/>
          <w:szCs w:val="24"/>
        </w:rPr>
        <w:t xml:space="preserve">Arts and </w:t>
      </w:r>
      <w:r w:rsidR="001F0E96">
        <w:rPr>
          <w:rFonts w:asciiTheme="minorHAnsi" w:hAnsiTheme="minorHAnsi"/>
          <w:color w:val="000000"/>
          <w:sz w:val="24"/>
          <w:szCs w:val="24"/>
        </w:rPr>
        <w:t xml:space="preserve">Social </w:t>
      </w:r>
      <w:r w:rsidRPr="00CD3919">
        <w:rPr>
          <w:rFonts w:asciiTheme="minorHAnsi" w:hAnsiTheme="minorHAnsi"/>
          <w:color w:val="000000"/>
          <w:sz w:val="24"/>
          <w:szCs w:val="24"/>
        </w:rPr>
        <w:t xml:space="preserve">Sciences provides guidelines and timelines for the submission </w:t>
      </w:r>
      <w:r w:rsidR="00D0104F" w:rsidRPr="00CD3919">
        <w:rPr>
          <w:rFonts w:asciiTheme="minorHAnsi" w:hAnsiTheme="minorHAnsi"/>
          <w:color w:val="000000"/>
          <w:sz w:val="24"/>
          <w:szCs w:val="24"/>
        </w:rPr>
        <w:t xml:space="preserve">of tenure and promotion files. </w:t>
      </w:r>
      <w:r w:rsidRPr="00CD3919">
        <w:rPr>
          <w:rFonts w:asciiTheme="minorHAnsi" w:hAnsiTheme="minorHAnsi"/>
          <w:color w:val="000000"/>
          <w:sz w:val="24"/>
          <w:szCs w:val="24"/>
        </w:rPr>
        <w:t>The files will be assembled by the PAC in consultation with the candidates for tenure and/or promotion.  The PAC will review the files and submit a report recommending for or against tenuring and/or promoting the candidate to the department Chair</w:t>
      </w:r>
      <w:r w:rsidR="007F382F">
        <w:rPr>
          <w:rFonts w:asciiTheme="minorHAnsi" w:hAnsiTheme="minorHAnsi"/>
          <w:color w:val="000000"/>
          <w:sz w:val="24"/>
          <w:szCs w:val="24"/>
        </w:rPr>
        <w:t>.</w:t>
      </w:r>
      <w:r w:rsidRPr="00CD3919">
        <w:rPr>
          <w:rFonts w:asciiTheme="minorHAnsi" w:hAnsiTheme="minorHAnsi"/>
          <w:color w:val="000000"/>
          <w:sz w:val="24"/>
          <w:szCs w:val="24"/>
        </w:rPr>
        <w:t xml:space="preserve"> The Chair will make </w:t>
      </w:r>
      <w:r w:rsidR="007F382F">
        <w:rPr>
          <w:rFonts w:asciiTheme="minorHAnsi" w:hAnsiTheme="minorHAnsi"/>
          <w:color w:val="000000"/>
          <w:sz w:val="24"/>
          <w:szCs w:val="24"/>
        </w:rPr>
        <w:t xml:space="preserve">an independent report </w:t>
      </w:r>
      <w:r w:rsidR="007F382F" w:rsidRPr="00CD3919">
        <w:rPr>
          <w:rFonts w:asciiTheme="minorHAnsi" w:hAnsiTheme="minorHAnsi"/>
          <w:color w:val="000000"/>
          <w:sz w:val="24"/>
          <w:szCs w:val="24"/>
        </w:rPr>
        <w:t>for or against tenuring and/or promoting the candidate</w:t>
      </w:r>
      <w:r w:rsidR="007F382F">
        <w:rPr>
          <w:rFonts w:asciiTheme="minorHAnsi" w:hAnsiTheme="minorHAnsi"/>
          <w:color w:val="000000"/>
          <w:sz w:val="24"/>
          <w:szCs w:val="24"/>
        </w:rPr>
        <w:t>.</w:t>
      </w:r>
      <w:r w:rsidR="007F382F" w:rsidRPr="00CD3919">
        <w:rPr>
          <w:rFonts w:asciiTheme="minorHAnsi" w:hAnsiTheme="minorHAnsi"/>
          <w:color w:val="000000"/>
          <w:sz w:val="24"/>
          <w:szCs w:val="24"/>
        </w:rPr>
        <w:t xml:space="preserve"> </w:t>
      </w:r>
      <w:r w:rsidR="007F382F">
        <w:rPr>
          <w:rFonts w:asciiTheme="minorHAnsi" w:hAnsiTheme="minorHAnsi"/>
          <w:color w:val="000000"/>
          <w:sz w:val="24"/>
          <w:szCs w:val="24"/>
        </w:rPr>
        <w:t>T</w:t>
      </w:r>
      <w:r w:rsidRPr="00CD3919">
        <w:rPr>
          <w:rFonts w:asciiTheme="minorHAnsi" w:hAnsiTheme="minorHAnsi"/>
          <w:color w:val="000000"/>
          <w:sz w:val="24"/>
          <w:szCs w:val="24"/>
        </w:rPr>
        <w:t xml:space="preserve">he Chair’s report </w:t>
      </w:r>
      <w:r w:rsidR="007F382F">
        <w:rPr>
          <w:rFonts w:asciiTheme="minorHAnsi" w:hAnsiTheme="minorHAnsi"/>
          <w:color w:val="000000"/>
          <w:sz w:val="24"/>
          <w:szCs w:val="24"/>
        </w:rPr>
        <w:t xml:space="preserve">will be made </w:t>
      </w:r>
      <w:r w:rsidRPr="00CD3919">
        <w:rPr>
          <w:rFonts w:asciiTheme="minorHAnsi" w:hAnsiTheme="minorHAnsi"/>
          <w:color w:val="000000"/>
          <w:sz w:val="24"/>
          <w:szCs w:val="24"/>
        </w:rPr>
        <w:t>available to the PAC</w:t>
      </w:r>
      <w:r w:rsidR="007F382F">
        <w:rPr>
          <w:rFonts w:asciiTheme="minorHAnsi" w:hAnsiTheme="minorHAnsi"/>
          <w:color w:val="000000"/>
          <w:sz w:val="24"/>
          <w:szCs w:val="24"/>
        </w:rPr>
        <w:t>.</w:t>
      </w:r>
      <w:r w:rsidRPr="00CD3919">
        <w:rPr>
          <w:rFonts w:asciiTheme="minorHAnsi" w:hAnsiTheme="minorHAnsi"/>
          <w:color w:val="000000"/>
          <w:sz w:val="24"/>
          <w:szCs w:val="24"/>
        </w:rPr>
        <w:t xml:space="preserve"> </w:t>
      </w:r>
      <w:r w:rsidR="007F382F">
        <w:rPr>
          <w:rFonts w:asciiTheme="minorHAnsi" w:hAnsiTheme="minorHAnsi"/>
          <w:color w:val="000000"/>
          <w:sz w:val="24"/>
          <w:szCs w:val="24"/>
        </w:rPr>
        <w:t>I</w:t>
      </w:r>
      <w:r w:rsidRPr="00CD3919">
        <w:rPr>
          <w:rFonts w:asciiTheme="minorHAnsi" w:hAnsiTheme="minorHAnsi"/>
          <w:color w:val="000000"/>
          <w:sz w:val="24"/>
          <w:szCs w:val="24"/>
        </w:rPr>
        <w:t xml:space="preserve">f necessary </w:t>
      </w:r>
      <w:r w:rsidR="007F382F">
        <w:rPr>
          <w:rFonts w:asciiTheme="minorHAnsi" w:hAnsiTheme="minorHAnsi"/>
          <w:color w:val="000000"/>
          <w:sz w:val="24"/>
          <w:szCs w:val="24"/>
        </w:rPr>
        <w:t xml:space="preserve">the two will </w:t>
      </w:r>
      <w:r w:rsidRPr="00CD3919">
        <w:rPr>
          <w:rFonts w:asciiTheme="minorHAnsi" w:hAnsiTheme="minorHAnsi"/>
          <w:color w:val="000000"/>
          <w:sz w:val="24"/>
          <w:szCs w:val="24"/>
        </w:rPr>
        <w:t xml:space="preserve">meet to reach an accord. Both recommendations, including their justificatory narrative, will be forwarded to the Dean of the College of </w:t>
      </w:r>
      <w:r w:rsidR="001F0E96">
        <w:rPr>
          <w:rFonts w:asciiTheme="minorHAnsi" w:hAnsiTheme="minorHAnsi"/>
          <w:color w:val="000000"/>
          <w:sz w:val="24"/>
          <w:szCs w:val="24"/>
        </w:rPr>
        <w:t xml:space="preserve">Liberal </w:t>
      </w:r>
      <w:r w:rsidRPr="00CD3919">
        <w:rPr>
          <w:rFonts w:asciiTheme="minorHAnsi" w:hAnsiTheme="minorHAnsi"/>
          <w:color w:val="000000"/>
          <w:sz w:val="24"/>
          <w:szCs w:val="24"/>
        </w:rPr>
        <w:t xml:space="preserve">Arts and </w:t>
      </w:r>
      <w:r w:rsidR="001F0E96">
        <w:rPr>
          <w:rFonts w:asciiTheme="minorHAnsi" w:hAnsiTheme="minorHAnsi"/>
          <w:color w:val="000000"/>
          <w:sz w:val="24"/>
          <w:szCs w:val="24"/>
        </w:rPr>
        <w:t xml:space="preserve">Social </w:t>
      </w:r>
      <w:r w:rsidRPr="00CD3919">
        <w:rPr>
          <w:rFonts w:asciiTheme="minorHAnsi" w:hAnsiTheme="minorHAnsi"/>
          <w:color w:val="000000"/>
          <w:sz w:val="24"/>
          <w:szCs w:val="24"/>
        </w:rPr>
        <w:t>Sciences</w:t>
      </w:r>
      <w:r w:rsidR="007F382F">
        <w:rPr>
          <w:rFonts w:asciiTheme="minorHAnsi" w:hAnsiTheme="minorHAnsi"/>
          <w:color w:val="000000"/>
          <w:sz w:val="24"/>
          <w:szCs w:val="24"/>
        </w:rPr>
        <w:t>.</w:t>
      </w:r>
    </w:p>
    <w:p w14:paraId="1EE40D31" w14:textId="77777777" w:rsidR="00946044" w:rsidRDefault="00946044" w:rsidP="00C86880">
      <w:pPr>
        <w:rPr>
          <w:rFonts w:asciiTheme="minorHAnsi" w:hAnsiTheme="minorHAnsi"/>
          <w:noProof w:val="0"/>
          <w:sz w:val="24"/>
          <w:szCs w:val="24"/>
        </w:rPr>
      </w:pPr>
    </w:p>
    <w:p w14:paraId="2DDAD68F" w14:textId="77777777" w:rsidR="00946044" w:rsidRDefault="00946044" w:rsidP="00946044">
      <w:pPr>
        <w:tabs>
          <w:tab w:val="decimal" w:pos="576"/>
          <w:tab w:val="left" w:pos="1008"/>
          <w:tab w:val="left" w:pos="1584"/>
          <w:tab w:val="left" w:pos="1872"/>
          <w:tab w:val="left" w:pos="2160"/>
          <w:tab w:val="left" w:pos="2340"/>
        </w:tabs>
        <w:jc w:val="both"/>
        <w:rPr>
          <w:sz w:val="24"/>
        </w:rPr>
      </w:pPr>
      <w:r>
        <w:rPr>
          <w:sz w:val="24"/>
        </w:rPr>
        <w:t xml:space="preserve">Grievance procedures for tenure and promotion cases in the Department of Philosophy and Religion will follow the stages and timelines laid out in the CLASS Promotion and Tenure Guidelines. A candidate who is under consideration to receive a negative recommendation from either the departmental committee, the chair, the college PAC or the dean has the right to meet with the chair of the committee, departmental chair and/or dean to discuss the decision. The </w:t>
      </w:r>
      <w:r>
        <w:rPr>
          <w:sz w:val="24"/>
        </w:rPr>
        <w:lastRenderedPageBreak/>
        <w:t>meeting must take place within five (5) business days upon notification of the decision under consideration.</w:t>
      </w:r>
    </w:p>
    <w:p w14:paraId="3F6609E9" w14:textId="77777777" w:rsidR="00946044" w:rsidRDefault="00946044" w:rsidP="00946044">
      <w:pPr>
        <w:tabs>
          <w:tab w:val="decimal" w:pos="576"/>
          <w:tab w:val="left" w:pos="1008"/>
          <w:tab w:val="left" w:pos="1584"/>
          <w:tab w:val="left" w:pos="1872"/>
          <w:tab w:val="left" w:pos="2160"/>
          <w:tab w:val="left" w:pos="2340"/>
        </w:tabs>
        <w:jc w:val="both"/>
        <w:rPr>
          <w:sz w:val="24"/>
        </w:rPr>
      </w:pPr>
    </w:p>
    <w:p w14:paraId="489700F1" w14:textId="77777777" w:rsidR="00946044" w:rsidRDefault="00946044" w:rsidP="00946044">
      <w:pPr>
        <w:tabs>
          <w:tab w:val="decimal" w:pos="576"/>
          <w:tab w:val="left" w:pos="1008"/>
          <w:tab w:val="left" w:pos="1584"/>
          <w:tab w:val="left" w:pos="1872"/>
          <w:tab w:val="left" w:pos="2160"/>
          <w:tab w:val="left" w:pos="2340"/>
        </w:tabs>
        <w:jc w:val="both"/>
        <w:rPr>
          <w:sz w:val="24"/>
        </w:rPr>
      </w:pPr>
      <w:r>
        <w:rPr>
          <w:sz w:val="24"/>
        </w:rPr>
        <w:t>If a negative recommendation is made at any level, the candidate has the right to insert a letter of dissent disputing this recommendation before the dossier is transmitted to the chair, college, or provost’s office. The candidate has three (3) business days after notification of the negative recommendation to provide the letter for placement in the dossier.</w:t>
      </w:r>
    </w:p>
    <w:p w14:paraId="640BFA76" w14:textId="77777777" w:rsidR="00946044" w:rsidRPr="00CD3919" w:rsidRDefault="00946044" w:rsidP="00C86880">
      <w:pPr>
        <w:rPr>
          <w:rFonts w:asciiTheme="minorHAnsi" w:hAnsiTheme="minorHAnsi"/>
          <w:noProof w:val="0"/>
          <w:sz w:val="24"/>
          <w:szCs w:val="24"/>
        </w:rPr>
      </w:pPr>
    </w:p>
    <w:p w14:paraId="69C193E8" w14:textId="77777777" w:rsidR="00930751" w:rsidRPr="00CD3919" w:rsidRDefault="00930751" w:rsidP="0032509C">
      <w:pPr>
        <w:ind w:left="20" w:hanging="20"/>
        <w:rPr>
          <w:rFonts w:asciiTheme="minorHAnsi" w:hAnsiTheme="minorHAnsi"/>
          <w:b/>
          <w:noProof w:val="0"/>
          <w:sz w:val="24"/>
          <w:szCs w:val="24"/>
        </w:rPr>
      </w:pPr>
    </w:p>
    <w:p w14:paraId="425408DE" w14:textId="3C21B7D5" w:rsidR="009C7DE9" w:rsidRPr="00CD3919" w:rsidRDefault="000D603C" w:rsidP="002F5191">
      <w:pPr>
        <w:rPr>
          <w:rFonts w:asciiTheme="minorHAnsi" w:hAnsiTheme="minorHAnsi"/>
          <w:b/>
          <w:noProof w:val="0"/>
          <w:sz w:val="24"/>
          <w:szCs w:val="24"/>
        </w:rPr>
      </w:pPr>
      <w:r>
        <w:rPr>
          <w:rFonts w:asciiTheme="minorHAnsi" w:hAnsiTheme="minorHAnsi"/>
          <w:b/>
          <w:noProof w:val="0"/>
          <w:sz w:val="24"/>
          <w:szCs w:val="24"/>
        </w:rPr>
        <w:t>VII</w:t>
      </w:r>
      <w:r w:rsidR="00446A21">
        <w:rPr>
          <w:rFonts w:asciiTheme="minorHAnsi" w:hAnsiTheme="minorHAnsi"/>
          <w:b/>
          <w:noProof w:val="0"/>
          <w:sz w:val="24"/>
          <w:szCs w:val="24"/>
        </w:rPr>
        <w:t>I</w:t>
      </w:r>
      <w:r w:rsidR="009C7DE9" w:rsidRPr="00CD3919">
        <w:rPr>
          <w:rFonts w:asciiTheme="minorHAnsi" w:hAnsiTheme="minorHAnsi"/>
          <w:b/>
          <w:noProof w:val="0"/>
          <w:sz w:val="24"/>
          <w:szCs w:val="24"/>
        </w:rPr>
        <w:t>. Lecturer Guidelines</w:t>
      </w:r>
      <w:r w:rsidR="009C7DE9" w:rsidRPr="00CD3919">
        <w:rPr>
          <w:rFonts w:asciiTheme="minorHAnsi" w:hAnsiTheme="minorHAnsi"/>
          <w:noProof w:val="0"/>
          <w:sz w:val="24"/>
          <w:szCs w:val="24"/>
        </w:rPr>
        <w:t xml:space="preserve">: </w:t>
      </w:r>
      <w:r w:rsidR="009C7DE9" w:rsidRPr="00CD3919">
        <w:rPr>
          <w:rFonts w:asciiTheme="minorHAnsi" w:hAnsiTheme="minorHAnsi"/>
          <w:sz w:val="24"/>
          <w:szCs w:val="24"/>
        </w:rPr>
        <w:t xml:space="preserve">Lecturers are primarily responsible for teaching courses. Their duties may also include student advising and/or meeting other student-related responsibilities, program development, service, </w:t>
      </w:r>
      <w:r w:rsidR="003515AE">
        <w:rPr>
          <w:rFonts w:asciiTheme="minorHAnsi" w:hAnsiTheme="minorHAnsi"/>
          <w:sz w:val="24"/>
          <w:szCs w:val="24"/>
        </w:rPr>
        <w:t xml:space="preserve">or </w:t>
      </w:r>
      <w:r w:rsidR="009C7DE9" w:rsidRPr="00CD3919">
        <w:rPr>
          <w:rFonts w:asciiTheme="minorHAnsi" w:hAnsiTheme="minorHAnsi"/>
          <w:sz w:val="24"/>
          <w:szCs w:val="24"/>
        </w:rPr>
        <w:t xml:space="preserve">professional development. Lecturers are appointed to one of the following classifications: Lecturer, Senior Lecturer, or Principal Lecturer. Lecturers are not eligible to participate in the University’s tenure system. Lecturers are eligible to serve on </w:t>
      </w:r>
      <w:r w:rsidR="00157426">
        <w:rPr>
          <w:rFonts w:asciiTheme="minorHAnsi" w:hAnsiTheme="minorHAnsi"/>
          <w:sz w:val="24"/>
          <w:szCs w:val="24"/>
        </w:rPr>
        <w:t>some</w:t>
      </w:r>
      <w:r w:rsidR="00157426" w:rsidRPr="00CD3919">
        <w:rPr>
          <w:rFonts w:asciiTheme="minorHAnsi" w:hAnsiTheme="minorHAnsi"/>
          <w:sz w:val="24"/>
          <w:szCs w:val="24"/>
        </w:rPr>
        <w:t xml:space="preserve"> </w:t>
      </w:r>
      <w:r w:rsidR="009C7DE9" w:rsidRPr="00CD3919">
        <w:rPr>
          <w:rFonts w:asciiTheme="minorHAnsi" w:hAnsiTheme="minorHAnsi"/>
          <w:sz w:val="24"/>
          <w:szCs w:val="24"/>
        </w:rPr>
        <w:t xml:space="preserve">college </w:t>
      </w:r>
      <w:r w:rsidR="00157426">
        <w:rPr>
          <w:rFonts w:asciiTheme="minorHAnsi" w:hAnsiTheme="minorHAnsi"/>
          <w:sz w:val="24"/>
          <w:szCs w:val="24"/>
        </w:rPr>
        <w:t>and university committees</w:t>
      </w:r>
      <w:r w:rsidR="009C7DE9" w:rsidRPr="00CD3919">
        <w:rPr>
          <w:rFonts w:asciiTheme="minorHAnsi" w:hAnsiTheme="minorHAnsi"/>
          <w:sz w:val="24"/>
          <w:szCs w:val="24"/>
        </w:rPr>
        <w:t xml:space="preserve"> as elected and/or appointed members.</w:t>
      </w:r>
      <w:r w:rsidR="006A2416" w:rsidRPr="00CD3919" w:rsidDel="006A2416">
        <w:rPr>
          <w:rFonts w:asciiTheme="minorHAnsi" w:hAnsiTheme="minorHAnsi"/>
          <w:sz w:val="24"/>
          <w:szCs w:val="24"/>
        </w:rPr>
        <w:t xml:space="preserve"> </w:t>
      </w:r>
    </w:p>
    <w:p w14:paraId="2CE50178" w14:textId="77777777" w:rsidR="009C7DE9" w:rsidRPr="00CD3919" w:rsidRDefault="009C7DE9" w:rsidP="00D045B1">
      <w:pPr>
        <w:rPr>
          <w:rFonts w:asciiTheme="minorHAnsi" w:hAnsiTheme="minorHAnsi"/>
          <w:noProof w:val="0"/>
          <w:sz w:val="24"/>
          <w:szCs w:val="24"/>
        </w:rPr>
      </w:pPr>
    </w:p>
    <w:p w14:paraId="687623BF" w14:textId="77777777" w:rsidR="009C7DE9" w:rsidRPr="00CD3919" w:rsidRDefault="009C7DE9" w:rsidP="00070835">
      <w:pPr>
        <w:ind w:left="20" w:hanging="20"/>
        <w:outlineLvl w:val="0"/>
        <w:rPr>
          <w:rFonts w:asciiTheme="minorHAnsi" w:hAnsiTheme="minorHAnsi"/>
          <w:noProof w:val="0"/>
          <w:sz w:val="24"/>
          <w:szCs w:val="24"/>
        </w:rPr>
      </w:pPr>
      <w:r w:rsidRPr="00CD3919">
        <w:rPr>
          <w:rFonts w:asciiTheme="minorHAnsi" w:hAnsiTheme="minorHAnsi"/>
          <w:noProof w:val="0"/>
          <w:sz w:val="24"/>
          <w:szCs w:val="24"/>
        </w:rPr>
        <w:tab/>
        <w:t xml:space="preserve">A. </w:t>
      </w:r>
      <w:r w:rsidRPr="00CD3919">
        <w:rPr>
          <w:rFonts w:asciiTheme="minorHAnsi" w:hAnsiTheme="minorHAnsi"/>
          <w:b/>
          <w:i/>
          <w:noProof w:val="0"/>
          <w:sz w:val="24"/>
          <w:szCs w:val="24"/>
        </w:rPr>
        <w:t>Lecturer Ranks</w:t>
      </w:r>
    </w:p>
    <w:p w14:paraId="17463759" w14:textId="77777777" w:rsidR="009C7DE9" w:rsidRPr="00CD3919" w:rsidRDefault="009C7DE9" w:rsidP="0032509C">
      <w:pPr>
        <w:ind w:left="20" w:hanging="20"/>
        <w:rPr>
          <w:rFonts w:asciiTheme="minorHAnsi" w:hAnsiTheme="minorHAnsi"/>
          <w:noProof w:val="0"/>
          <w:sz w:val="24"/>
          <w:szCs w:val="24"/>
        </w:rPr>
      </w:pPr>
    </w:p>
    <w:p w14:paraId="7BC60674" w14:textId="77777777" w:rsidR="009C7DE9" w:rsidRPr="00CD3919" w:rsidRDefault="009C7DE9" w:rsidP="0032509C">
      <w:pPr>
        <w:rPr>
          <w:rFonts w:asciiTheme="minorHAnsi" w:hAnsiTheme="minorHAnsi"/>
          <w:sz w:val="24"/>
          <w:szCs w:val="24"/>
        </w:rPr>
      </w:pPr>
      <w:r w:rsidRPr="00CD3919">
        <w:rPr>
          <w:rFonts w:asciiTheme="minorHAnsi" w:hAnsiTheme="minorHAnsi"/>
          <w:sz w:val="24"/>
          <w:szCs w:val="24"/>
        </w:rPr>
        <w:t xml:space="preserve">1. </w:t>
      </w:r>
      <w:r w:rsidRPr="00CD3919">
        <w:rPr>
          <w:rFonts w:asciiTheme="minorHAnsi" w:hAnsiTheme="minorHAnsi"/>
          <w:b/>
          <w:sz w:val="24"/>
          <w:szCs w:val="24"/>
        </w:rPr>
        <w:t>Lecturer:</w:t>
      </w:r>
      <w:r w:rsidRPr="00CD3919">
        <w:rPr>
          <w:rFonts w:asciiTheme="minorHAnsi" w:hAnsiTheme="minorHAnsi"/>
          <w:sz w:val="24"/>
          <w:szCs w:val="24"/>
        </w:rPr>
        <w:t xml:space="preserve">  Lecturer appointment contracts may be for one to three years. </w:t>
      </w:r>
      <w:r w:rsidR="000D7C82" w:rsidRPr="00CD3919">
        <w:rPr>
          <w:rFonts w:asciiTheme="minorHAnsi" w:hAnsiTheme="minorHAnsi"/>
          <w:sz w:val="24"/>
          <w:szCs w:val="24"/>
        </w:rPr>
        <w:t>Lecturers may be eligible to apply for travel funds and grants if they meet university, college, and departmental requirements.</w:t>
      </w:r>
      <w:r w:rsidR="00575B84">
        <w:rPr>
          <w:rFonts w:asciiTheme="minorHAnsi" w:hAnsiTheme="minorHAnsi"/>
          <w:sz w:val="24"/>
          <w:szCs w:val="24"/>
        </w:rPr>
        <w:t xml:space="preserve"> </w:t>
      </w:r>
      <w:r w:rsidRPr="00CD3919">
        <w:rPr>
          <w:rFonts w:asciiTheme="minorHAnsi" w:hAnsiTheme="minorHAnsi"/>
          <w:sz w:val="24"/>
          <w:szCs w:val="24"/>
        </w:rPr>
        <w:t xml:space="preserve">All contracts are renewed annually. </w:t>
      </w:r>
    </w:p>
    <w:p w14:paraId="76F28806" w14:textId="77777777" w:rsidR="009C7DE9" w:rsidRPr="00CD3919" w:rsidRDefault="009C7DE9" w:rsidP="0032509C">
      <w:pPr>
        <w:ind w:left="720"/>
        <w:rPr>
          <w:rFonts w:asciiTheme="minorHAnsi" w:hAnsiTheme="minorHAnsi"/>
          <w:sz w:val="24"/>
          <w:szCs w:val="24"/>
        </w:rPr>
      </w:pPr>
    </w:p>
    <w:p w14:paraId="51593FFF" w14:textId="77777777" w:rsidR="000D7C82" w:rsidRPr="00CD3919" w:rsidRDefault="009C7DE9" w:rsidP="000D7C82">
      <w:pPr>
        <w:rPr>
          <w:rFonts w:asciiTheme="minorHAnsi" w:hAnsiTheme="minorHAnsi"/>
          <w:sz w:val="24"/>
          <w:szCs w:val="24"/>
        </w:rPr>
      </w:pPr>
      <w:r w:rsidRPr="00CD3919">
        <w:rPr>
          <w:rFonts w:asciiTheme="minorHAnsi" w:hAnsiTheme="minorHAnsi"/>
          <w:sz w:val="24"/>
          <w:szCs w:val="24"/>
        </w:rPr>
        <w:t xml:space="preserve">2. </w:t>
      </w:r>
      <w:r w:rsidRPr="00CD3919">
        <w:rPr>
          <w:rFonts w:asciiTheme="minorHAnsi" w:hAnsiTheme="minorHAnsi"/>
          <w:b/>
          <w:sz w:val="24"/>
          <w:szCs w:val="24"/>
        </w:rPr>
        <w:t>Senior Lecturer:</w:t>
      </w:r>
      <w:r w:rsidRPr="00CD3919">
        <w:rPr>
          <w:rFonts w:asciiTheme="minorHAnsi" w:hAnsiTheme="minorHAnsi"/>
          <w:sz w:val="24"/>
          <w:szCs w:val="24"/>
        </w:rPr>
        <w:t xml:space="preserve"> </w:t>
      </w:r>
      <w:r w:rsidR="000D7C82">
        <w:rPr>
          <w:rFonts w:asciiTheme="minorHAnsi" w:hAnsiTheme="minorHAnsi"/>
          <w:sz w:val="24"/>
          <w:szCs w:val="24"/>
        </w:rPr>
        <w:t>After three years, l</w:t>
      </w:r>
      <w:r w:rsidR="00556462" w:rsidRPr="00CD3919">
        <w:rPr>
          <w:rFonts w:asciiTheme="minorHAnsi" w:hAnsiTheme="minorHAnsi"/>
          <w:sz w:val="24"/>
          <w:szCs w:val="24"/>
        </w:rPr>
        <w:t>ecturer</w:t>
      </w:r>
      <w:r w:rsidR="000D7C82">
        <w:rPr>
          <w:rFonts w:asciiTheme="minorHAnsi" w:hAnsiTheme="minorHAnsi"/>
          <w:sz w:val="24"/>
          <w:szCs w:val="24"/>
        </w:rPr>
        <w:t>s are eligible for promotion to Senior Lecturer. Senior</w:t>
      </w:r>
      <w:r w:rsidR="000D7C82" w:rsidRPr="00CD3919">
        <w:rPr>
          <w:rFonts w:asciiTheme="minorHAnsi" w:hAnsiTheme="minorHAnsi"/>
          <w:sz w:val="24"/>
          <w:szCs w:val="24"/>
        </w:rPr>
        <w:t xml:space="preserve"> Lecturer will receive a standard increase in base salary at the time the new rank appointment begins. </w:t>
      </w:r>
      <w:r w:rsidR="000D7C82">
        <w:rPr>
          <w:rFonts w:asciiTheme="minorHAnsi" w:hAnsiTheme="minorHAnsi"/>
          <w:sz w:val="24"/>
          <w:szCs w:val="24"/>
        </w:rPr>
        <w:t>Senior</w:t>
      </w:r>
      <w:r w:rsidR="000D7C82" w:rsidRPr="00CD3919">
        <w:rPr>
          <w:rFonts w:asciiTheme="minorHAnsi" w:hAnsiTheme="minorHAnsi"/>
          <w:sz w:val="24"/>
          <w:szCs w:val="24"/>
        </w:rPr>
        <w:t xml:space="preserve"> Lecturers may be eligible to apply for development leave and certain travel funds and grants if they meet university, college, and departmental requirements. </w:t>
      </w:r>
      <w:r w:rsidR="000D7C82">
        <w:rPr>
          <w:rFonts w:asciiTheme="minorHAnsi" w:hAnsiTheme="minorHAnsi"/>
          <w:sz w:val="24"/>
          <w:szCs w:val="24"/>
        </w:rPr>
        <w:t>A</w:t>
      </w:r>
      <w:r w:rsidR="000D7C82" w:rsidRPr="00CD3919">
        <w:rPr>
          <w:rFonts w:asciiTheme="minorHAnsi" w:hAnsiTheme="minorHAnsi"/>
          <w:sz w:val="24"/>
          <w:szCs w:val="24"/>
        </w:rPr>
        <w:t>ppointment contracts may be for one to five years. All contracts are renewed annually.</w:t>
      </w:r>
    </w:p>
    <w:p w14:paraId="67F8F02D" w14:textId="77777777" w:rsidR="009C7DE9" w:rsidRPr="00CD3919" w:rsidRDefault="009C7DE9" w:rsidP="0032509C">
      <w:pPr>
        <w:rPr>
          <w:rFonts w:asciiTheme="minorHAnsi" w:hAnsiTheme="minorHAnsi"/>
          <w:sz w:val="24"/>
          <w:szCs w:val="24"/>
        </w:rPr>
      </w:pPr>
    </w:p>
    <w:p w14:paraId="5422E6AE" w14:textId="77777777" w:rsidR="000D7C82" w:rsidRPr="00CD3919" w:rsidRDefault="009C7DE9" w:rsidP="000D7C82">
      <w:pPr>
        <w:rPr>
          <w:rFonts w:asciiTheme="minorHAnsi" w:hAnsiTheme="minorHAnsi"/>
          <w:sz w:val="24"/>
          <w:szCs w:val="24"/>
        </w:rPr>
      </w:pPr>
      <w:r w:rsidRPr="00CD3919">
        <w:rPr>
          <w:rFonts w:asciiTheme="minorHAnsi" w:hAnsiTheme="minorHAnsi"/>
          <w:sz w:val="24"/>
          <w:szCs w:val="24"/>
        </w:rPr>
        <w:t xml:space="preserve">3. </w:t>
      </w:r>
      <w:r w:rsidRPr="00CD3919">
        <w:rPr>
          <w:rFonts w:asciiTheme="minorHAnsi" w:hAnsiTheme="minorHAnsi"/>
          <w:b/>
          <w:sz w:val="24"/>
          <w:szCs w:val="24"/>
        </w:rPr>
        <w:t xml:space="preserve">Principal Lecturer: </w:t>
      </w:r>
      <w:r w:rsidR="000D7C82">
        <w:rPr>
          <w:rFonts w:asciiTheme="minorHAnsi" w:hAnsiTheme="minorHAnsi"/>
          <w:sz w:val="24"/>
          <w:szCs w:val="24"/>
        </w:rPr>
        <w:t xml:space="preserve">After </w:t>
      </w:r>
      <w:r w:rsidR="000945C0">
        <w:rPr>
          <w:rFonts w:asciiTheme="minorHAnsi" w:hAnsiTheme="minorHAnsi"/>
          <w:sz w:val="24"/>
          <w:szCs w:val="24"/>
        </w:rPr>
        <w:t>four</w:t>
      </w:r>
      <w:r w:rsidR="000D7C82">
        <w:rPr>
          <w:rFonts w:asciiTheme="minorHAnsi" w:hAnsiTheme="minorHAnsi"/>
          <w:sz w:val="24"/>
          <w:szCs w:val="24"/>
        </w:rPr>
        <w:t xml:space="preserve"> years,</w:t>
      </w:r>
      <w:r w:rsidR="00556462" w:rsidRPr="00CD3919">
        <w:rPr>
          <w:rFonts w:asciiTheme="minorHAnsi" w:hAnsiTheme="minorHAnsi"/>
          <w:sz w:val="24"/>
          <w:szCs w:val="24"/>
        </w:rPr>
        <w:t xml:space="preserve"> </w:t>
      </w:r>
      <w:r w:rsidR="000D7C82">
        <w:rPr>
          <w:rFonts w:asciiTheme="minorHAnsi" w:hAnsiTheme="minorHAnsi"/>
          <w:sz w:val="24"/>
          <w:szCs w:val="24"/>
        </w:rPr>
        <w:t>Senior</w:t>
      </w:r>
      <w:r w:rsidR="000D7C82" w:rsidRPr="00CD3919">
        <w:rPr>
          <w:rFonts w:asciiTheme="minorHAnsi" w:hAnsiTheme="minorHAnsi"/>
          <w:sz w:val="24"/>
          <w:szCs w:val="24"/>
        </w:rPr>
        <w:t xml:space="preserve"> </w:t>
      </w:r>
      <w:r w:rsidR="00556462" w:rsidRPr="00CD3919">
        <w:rPr>
          <w:rFonts w:asciiTheme="minorHAnsi" w:hAnsiTheme="minorHAnsi"/>
          <w:sz w:val="24"/>
          <w:szCs w:val="24"/>
        </w:rPr>
        <w:t>Lecturer</w:t>
      </w:r>
      <w:r w:rsidR="000D7C82">
        <w:rPr>
          <w:rFonts w:asciiTheme="minorHAnsi" w:hAnsiTheme="minorHAnsi"/>
          <w:sz w:val="24"/>
          <w:szCs w:val="24"/>
        </w:rPr>
        <w:t>s are eligible for promotion to Principal Lecturer.</w:t>
      </w:r>
      <w:r w:rsidR="00556462" w:rsidRPr="00CD3919">
        <w:rPr>
          <w:rFonts w:asciiTheme="minorHAnsi" w:hAnsiTheme="minorHAnsi"/>
          <w:sz w:val="24"/>
          <w:szCs w:val="24"/>
        </w:rPr>
        <w:t xml:space="preserve"> </w:t>
      </w:r>
      <w:r w:rsidR="000D7C82">
        <w:rPr>
          <w:rFonts w:asciiTheme="minorHAnsi" w:hAnsiTheme="minorHAnsi"/>
          <w:sz w:val="24"/>
          <w:szCs w:val="24"/>
        </w:rPr>
        <w:t>Principal Lecturer</w:t>
      </w:r>
      <w:r w:rsidR="00575B84">
        <w:rPr>
          <w:rFonts w:asciiTheme="minorHAnsi" w:hAnsiTheme="minorHAnsi"/>
          <w:sz w:val="24"/>
          <w:szCs w:val="24"/>
        </w:rPr>
        <w:t>s</w:t>
      </w:r>
      <w:r w:rsidR="000D7C82" w:rsidRPr="00CD3919">
        <w:rPr>
          <w:rFonts w:asciiTheme="minorHAnsi" w:hAnsiTheme="minorHAnsi"/>
          <w:sz w:val="24"/>
          <w:szCs w:val="24"/>
        </w:rPr>
        <w:t xml:space="preserve"> will receive a standard increase in base salary at the time the new rank appointment begins. </w:t>
      </w:r>
      <w:r w:rsidR="00575B84">
        <w:rPr>
          <w:rFonts w:asciiTheme="minorHAnsi" w:hAnsiTheme="minorHAnsi"/>
          <w:sz w:val="24"/>
          <w:szCs w:val="24"/>
        </w:rPr>
        <w:t xml:space="preserve">Principal </w:t>
      </w:r>
      <w:r w:rsidR="000D7C82" w:rsidRPr="00CD3919">
        <w:rPr>
          <w:rFonts w:asciiTheme="minorHAnsi" w:hAnsiTheme="minorHAnsi"/>
          <w:sz w:val="24"/>
          <w:szCs w:val="24"/>
        </w:rPr>
        <w:t xml:space="preserve">Lecturers may be eligible to apply for development leave and certain travel funds and grants if they meet university, college, and departmental requirements. </w:t>
      </w:r>
      <w:r w:rsidR="000D7C82">
        <w:rPr>
          <w:rFonts w:asciiTheme="minorHAnsi" w:hAnsiTheme="minorHAnsi"/>
          <w:sz w:val="24"/>
          <w:szCs w:val="24"/>
        </w:rPr>
        <w:t>A</w:t>
      </w:r>
      <w:r w:rsidR="000D7C82" w:rsidRPr="00CD3919">
        <w:rPr>
          <w:rFonts w:asciiTheme="minorHAnsi" w:hAnsiTheme="minorHAnsi"/>
          <w:sz w:val="24"/>
          <w:szCs w:val="24"/>
        </w:rPr>
        <w:t>ppointment contracts may be for one to five years.  All contracts are renewed annually.</w:t>
      </w:r>
    </w:p>
    <w:p w14:paraId="59F89679" w14:textId="77777777" w:rsidR="009C7DE9" w:rsidRPr="00CD3919" w:rsidRDefault="009C7DE9" w:rsidP="0032509C">
      <w:pPr>
        <w:rPr>
          <w:rFonts w:asciiTheme="minorHAnsi" w:hAnsiTheme="minorHAnsi"/>
          <w:sz w:val="24"/>
          <w:szCs w:val="24"/>
        </w:rPr>
      </w:pPr>
    </w:p>
    <w:p w14:paraId="30B18410" w14:textId="77777777" w:rsidR="009C7DE9" w:rsidRPr="00CD3919" w:rsidRDefault="009C7DE9" w:rsidP="0032509C">
      <w:pPr>
        <w:rPr>
          <w:rFonts w:asciiTheme="minorHAnsi" w:hAnsiTheme="minorHAnsi"/>
          <w:sz w:val="24"/>
          <w:szCs w:val="24"/>
        </w:rPr>
      </w:pPr>
      <w:r w:rsidRPr="00CD3919">
        <w:rPr>
          <w:rFonts w:asciiTheme="minorHAnsi" w:hAnsiTheme="minorHAnsi"/>
          <w:sz w:val="24"/>
          <w:szCs w:val="24"/>
        </w:rPr>
        <w:t xml:space="preserve">B. </w:t>
      </w:r>
      <w:r w:rsidRPr="00CD3919">
        <w:rPr>
          <w:rFonts w:asciiTheme="minorHAnsi" w:hAnsiTheme="minorHAnsi"/>
          <w:b/>
          <w:i/>
          <w:sz w:val="24"/>
          <w:szCs w:val="24"/>
        </w:rPr>
        <w:t>Lecturer Qualifications</w:t>
      </w:r>
      <w:r w:rsidRPr="00CD3919">
        <w:rPr>
          <w:rFonts w:asciiTheme="minorHAnsi" w:hAnsiTheme="minorHAnsi"/>
          <w:sz w:val="24"/>
          <w:szCs w:val="24"/>
        </w:rPr>
        <w:t xml:space="preserve">: At a minimum, lecturers must meet the Southern Association of Colleges and Schools (SACS) requirements of an earned Master’s degree with a minimum of 18 graduate semester hours in the discipline in which they are to teach, and/or certification, licensing, or equivalent professional experience.  The Department gives preference to candidates who have earned a Ph.D. </w:t>
      </w:r>
    </w:p>
    <w:p w14:paraId="25242711" w14:textId="77777777" w:rsidR="009C7DE9" w:rsidRPr="00CD3919" w:rsidRDefault="009C7DE9" w:rsidP="0032509C">
      <w:pPr>
        <w:rPr>
          <w:rFonts w:asciiTheme="minorHAnsi" w:hAnsiTheme="minorHAnsi"/>
          <w:sz w:val="24"/>
          <w:szCs w:val="24"/>
        </w:rPr>
      </w:pPr>
    </w:p>
    <w:p w14:paraId="76FB7510" w14:textId="77777777" w:rsidR="009C7DE9" w:rsidRPr="00CD3919" w:rsidRDefault="009C7DE9" w:rsidP="00D045B1">
      <w:pPr>
        <w:rPr>
          <w:rFonts w:asciiTheme="minorHAnsi" w:hAnsiTheme="minorHAnsi"/>
          <w:sz w:val="24"/>
          <w:szCs w:val="24"/>
        </w:rPr>
      </w:pPr>
      <w:r w:rsidRPr="00CD3919">
        <w:rPr>
          <w:rFonts w:asciiTheme="minorHAnsi" w:hAnsiTheme="minorHAnsi"/>
          <w:noProof w:val="0"/>
          <w:sz w:val="24"/>
          <w:szCs w:val="24"/>
        </w:rPr>
        <w:t xml:space="preserve">C. </w:t>
      </w:r>
      <w:r w:rsidR="000945C0" w:rsidRPr="00CD3919">
        <w:rPr>
          <w:rFonts w:asciiTheme="minorHAnsi" w:hAnsiTheme="minorHAnsi"/>
          <w:b/>
          <w:i/>
          <w:sz w:val="24"/>
          <w:szCs w:val="24"/>
        </w:rPr>
        <w:t>Evaluation Procedures</w:t>
      </w:r>
      <w:r w:rsidR="000945C0" w:rsidRPr="00CD3919">
        <w:rPr>
          <w:rFonts w:asciiTheme="minorHAnsi" w:hAnsiTheme="minorHAnsi"/>
          <w:sz w:val="24"/>
          <w:szCs w:val="24"/>
        </w:rPr>
        <w:t xml:space="preserve">: Lecturers (one-year and multi-year) will be evaluated annually by the PAC with recommendations for renewal and/or promotion made to the Chair.  The </w:t>
      </w:r>
      <w:r w:rsidR="000945C0" w:rsidRPr="00CD3919">
        <w:rPr>
          <w:rFonts w:asciiTheme="minorHAnsi" w:hAnsiTheme="minorHAnsi"/>
          <w:sz w:val="24"/>
          <w:szCs w:val="24"/>
        </w:rPr>
        <w:lastRenderedPageBreak/>
        <w:t>recommendation/evaluation process must consist of narrative and numerical analys</w:t>
      </w:r>
      <w:r w:rsidR="00D67162">
        <w:rPr>
          <w:rFonts w:asciiTheme="minorHAnsi" w:hAnsiTheme="minorHAnsi"/>
          <w:sz w:val="24"/>
          <w:szCs w:val="24"/>
        </w:rPr>
        <w:t>e</w:t>
      </w:r>
      <w:r w:rsidR="000945C0" w:rsidRPr="00CD3919">
        <w:rPr>
          <w:rFonts w:asciiTheme="minorHAnsi" w:hAnsiTheme="minorHAnsi"/>
          <w:sz w:val="24"/>
          <w:szCs w:val="24"/>
        </w:rPr>
        <w:t xml:space="preserve">s.  Lecturers’ annual update/dossier shall be tailored to their specific duties. </w:t>
      </w:r>
    </w:p>
    <w:p w14:paraId="27C6E85E" w14:textId="77777777" w:rsidR="009C7DE9" w:rsidRPr="00CD3919" w:rsidRDefault="009C7DE9" w:rsidP="0032509C">
      <w:pPr>
        <w:ind w:left="20" w:hanging="20"/>
        <w:rPr>
          <w:rFonts w:asciiTheme="minorHAnsi" w:hAnsiTheme="minorHAnsi"/>
          <w:sz w:val="24"/>
          <w:szCs w:val="24"/>
        </w:rPr>
      </w:pPr>
    </w:p>
    <w:p w14:paraId="14CD13E0" w14:textId="77777777" w:rsidR="00F70AE4" w:rsidRDefault="006F64A5" w:rsidP="000945C0">
      <w:pPr>
        <w:rPr>
          <w:rFonts w:asciiTheme="minorHAnsi" w:hAnsiTheme="minorHAnsi"/>
          <w:sz w:val="24"/>
          <w:szCs w:val="24"/>
        </w:rPr>
      </w:pPr>
      <w:r w:rsidRPr="00D045B1">
        <w:rPr>
          <w:rFonts w:asciiTheme="minorHAnsi" w:hAnsiTheme="minorHAnsi"/>
          <w:sz w:val="24"/>
          <w:szCs w:val="24"/>
        </w:rPr>
        <w:t>D</w:t>
      </w:r>
      <w:r w:rsidR="009C7DE9" w:rsidRPr="00D045B1">
        <w:rPr>
          <w:rFonts w:asciiTheme="minorHAnsi" w:hAnsiTheme="minorHAnsi"/>
          <w:sz w:val="24"/>
          <w:szCs w:val="24"/>
        </w:rPr>
        <w:t xml:space="preserve">. </w:t>
      </w:r>
      <w:r w:rsidR="000945C0" w:rsidRPr="00D045B1">
        <w:rPr>
          <w:rFonts w:asciiTheme="minorHAnsi" w:hAnsiTheme="minorHAnsi"/>
          <w:b/>
          <w:i/>
          <w:sz w:val="24"/>
          <w:szCs w:val="24"/>
        </w:rPr>
        <w:t>Promotion Procedures</w:t>
      </w:r>
      <w:r w:rsidR="000945C0" w:rsidRPr="008F41D9">
        <w:rPr>
          <w:rFonts w:asciiTheme="minorHAnsi" w:hAnsiTheme="minorHAnsi"/>
          <w:b/>
          <w:sz w:val="24"/>
          <w:szCs w:val="24"/>
        </w:rPr>
        <w:t xml:space="preserve">: </w:t>
      </w:r>
      <w:r w:rsidR="000945C0" w:rsidRPr="00D045B1">
        <w:rPr>
          <w:rFonts w:asciiTheme="minorHAnsi" w:hAnsiTheme="minorHAnsi"/>
          <w:sz w:val="24"/>
          <w:szCs w:val="24"/>
        </w:rPr>
        <w:t xml:space="preserve">Promotion </w:t>
      </w:r>
      <w:r w:rsidR="00070835" w:rsidRPr="008F41D9">
        <w:rPr>
          <w:rFonts w:asciiTheme="minorHAnsi" w:hAnsiTheme="minorHAnsi"/>
          <w:sz w:val="24"/>
          <w:szCs w:val="24"/>
        </w:rPr>
        <w:t xml:space="preserve">to the rank of Senior or Principal Lecturer </w:t>
      </w:r>
      <w:r w:rsidR="000945C0" w:rsidRPr="00D045B1">
        <w:rPr>
          <w:rFonts w:asciiTheme="minorHAnsi" w:hAnsiTheme="minorHAnsi"/>
          <w:sz w:val="24"/>
          <w:szCs w:val="24"/>
        </w:rPr>
        <w:t xml:space="preserve">will be based on letters of recommendation by the department PAC and the department chair. </w:t>
      </w:r>
      <w:r w:rsidR="00070835" w:rsidRPr="008F41D9">
        <w:rPr>
          <w:rFonts w:asciiTheme="minorHAnsi" w:hAnsiTheme="minorHAnsi"/>
          <w:sz w:val="24"/>
          <w:szCs w:val="24"/>
        </w:rPr>
        <w:t xml:space="preserve"> The standards for promotion are, a) quality of teaching; b) quality of service; c) collegiality</w:t>
      </w:r>
      <w:r w:rsidR="00F70AE4">
        <w:rPr>
          <w:rFonts w:asciiTheme="minorHAnsi" w:hAnsiTheme="minorHAnsi"/>
          <w:sz w:val="24"/>
          <w:szCs w:val="24"/>
        </w:rPr>
        <w:t>.</w:t>
      </w:r>
      <w:r w:rsidR="00070835" w:rsidRPr="008F41D9">
        <w:rPr>
          <w:rFonts w:asciiTheme="minorHAnsi" w:hAnsiTheme="minorHAnsi"/>
          <w:sz w:val="24"/>
          <w:szCs w:val="24"/>
        </w:rPr>
        <w:t xml:space="preserve"> </w:t>
      </w:r>
      <w:r w:rsidR="00F70AE4">
        <w:rPr>
          <w:rFonts w:asciiTheme="minorHAnsi" w:hAnsiTheme="minorHAnsi"/>
          <w:sz w:val="24"/>
          <w:szCs w:val="24"/>
        </w:rPr>
        <w:t>L</w:t>
      </w:r>
      <w:r w:rsidR="00070835" w:rsidRPr="008F41D9">
        <w:rPr>
          <w:rFonts w:asciiTheme="minorHAnsi" w:hAnsiTheme="minorHAnsi"/>
          <w:sz w:val="24"/>
          <w:szCs w:val="24"/>
        </w:rPr>
        <w:t>eadershi</w:t>
      </w:r>
      <w:r w:rsidR="00F70AE4">
        <w:rPr>
          <w:rFonts w:asciiTheme="minorHAnsi" w:hAnsiTheme="minorHAnsi"/>
          <w:sz w:val="24"/>
          <w:szCs w:val="24"/>
        </w:rPr>
        <w:t xml:space="preserve">p, </w:t>
      </w:r>
      <w:r w:rsidR="00070835" w:rsidRPr="008F41D9">
        <w:rPr>
          <w:rFonts w:asciiTheme="minorHAnsi" w:hAnsiTheme="minorHAnsi"/>
          <w:sz w:val="24"/>
          <w:szCs w:val="24"/>
        </w:rPr>
        <w:t>professional growth and development</w:t>
      </w:r>
      <w:r w:rsidR="00F70AE4">
        <w:rPr>
          <w:rFonts w:asciiTheme="minorHAnsi" w:hAnsiTheme="minorHAnsi"/>
          <w:sz w:val="24"/>
          <w:szCs w:val="24"/>
        </w:rPr>
        <w:t xml:space="preserve"> may also be considered</w:t>
      </w:r>
      <w:r w:rsidR="00070835" w:rsidRPr="008F41D9">
        <w:rPr>
          <w:rFonts w:asciiTheme="minorHAnsi" w:hAnsiTheme="minorHAnsi"/>
          <w:sz w:val="24"/>
          <w:szCs w:val="24"/>
        </w:rPr>
        <w:t>.</w:t>
      </w:r>
      <w:r w:rsidR="006E0138" w:rsidRPr="008F41D9">
        <w:rPr>
          <w:rFonts w:asciiTheme="minorHAnsi" w:hAnsiTheme="minorHAnsi"/>
          <w:sz w:val="24"/>
          <w:szCs w:val="24"/>
        </w:rPr>
        <w:t xml:space="preserve"> </w:t>
      </w:r>
    </w:p>
    <w:p w14:paraId="1A8034EB" w14:textId="77777777" w:rsidR="009C7DE9" w:rsidRPr="00DB1683" w:rsidRDefault="009C7DE9" w:rsidP="000945C0">
      <w:pPr>
        <w:rPr>
          <w:rFonts w:asciiTheme="minorHAnsi" w:hAnsiTheme="minorHAnsi"/>
          <w:sz w:val="24"/>
          <w:szCs w:val="24"/>
        </w:rPr>
      </w:pPr>
    </w:p>
    <w:p w14:paraId="437AEC38" w14:textId="77777777" w:rsidR="00533D4F" w:rsidRPr="00CD3919" w:rsidRDefault="00533D4F" w:rsidP="00533D4F">
      <w:pPr>
        <w:rPr>
          <w:rFonts w:asciiTheme="minorHAnsi" w:hAnsiTheme="minorHAnsi"/>
          <w:sz w:val="24"/>
          <w:szCs w:val="24"/>
        </w:rPr>
      </w:pPr>
    </w:p>
    <w:p w14:paraId="5DC4F9CE" w14:textId="77777777" w:rsidR="00946044" w:rsidRDefault="00946044" w:rsidP="00946044">
      <w:pPr>
        <w:tabs>
          <w:tab w:val="decimal" w:pos="576"/>
          <w:tab w:val="left" w:pos="1008"/>
          <w:tab w:val="left" w:pos="1584"/>
          <w:tab w:val="left" w:pos="1872"/>
          <w:tab w:val="left" w:pos="2160"/>
          <w:tab w:val="left" w:pos="2340"/>
        </w:tabs>
        <w:jc w:val="both"/>
        <w:rPr>
          <w:sz w:val="24"/>
        </w:rPr>
      </w:pPr>
      <w:r>
        <w:rPr>
          <w:sz w:val="24"/>
        </w:rPr>
        <w:t>Grievance procedures for promotion cases will follow the stages and timelines laid out in the CLASS Promotion and Tenure Guidelines. A candidate who is under consideration to receive a negative recommendation from either the departmental committee, the chair, the college PAC or the dean has the right to meet with the chair of the committee, departmental chair and/or dean to discuss the decision. The meeting must take place within five (5) business days upon notification of the decision under consideration.</w:t>
      </w:r>
    </w:p>
    <w:p w14:paraId="68B04F64" w14:textId="77777777" w:rsidR="00946044" w:rsidRDefault="00946044" w:rsidP="00946044">
      <w:pPr>
        <w:tabs>
          <w:tab w:val="decimal" w:pos="576"/>
          <w:tab w:val="left" w:pos="1008"/>
          <w:tab w:val="left" w:pos="1584"/>
          <w:tab w:val="left" w:pos="1872"/>
          <w:tab w:val="left" w:pos="2160"/>
          <w:tab w:val="left" w:pos="2340"/>
        </w:tabs>
        <w:jc w:val="both"/>
        <w:rPr>
          <w:sz w:val="24"/>
        </w:rPr>
      </w:pPr>
    </w:p>
    <w:p w14:paraId="4EE29D53" w14:textId="77777777" w:rsidR="00946044" w:rsidRDefault="00946044" w:rsidP="00946044">
      <w:pPr>
        <w:tabs>
          <w:tab w:val="decimal" w:pos="576"/>
          <w:tab w:val="left" w:pos="1008"/>
          <w:tab w:val="left" w:pos="1584"/>
          <w:tab w:val="left" w:pos="1872"/>
          <w:tab w:val="left" w:pos="2160"/>
          <w:tab w:val="left" w:pos="2340"/>
        </w:tabs>
        <w:jc w:val="both"/>
        <w:rPr>
          <w:sz w:val="24"/>
        </w:rPr>
      </w:pPr>
      <w:r>
        <w:rPr>
          <w:sz w:val="24"/>
        </w:rPr>
        <w:t>If a negative recommendation is made at any level, the candidate has the right to insert a letter of dissent disputing this recommendation before the dossier is transmitted to the chair, college, or provost’s office. The candidate has three (3) business days after notification of the negative recommendation to provide the letter for placement in the dossier.</w:t>
      </w:r>
    </w:p>
    <w:p w14:paraId="66BA4581" w14:textId="77777777" w:rsidR="0032509C" w:rsidRPr="00CD3919" w:rsidRDefault="0032509C" w:rsidP="0032509C">
      <w:pPr>
        <w:rPr>
          <w:rFonts w:asciiTheme="minorHAnsi" w:hAnsiTheme="minorHAnsi"/>
          <w:sz w:val="24"/>
          <w:szCs w:val="24"/>
        </w:rPr>
      </w:pPr>
    </w:p>
    <w:sectPr w:rsidR="0032509C" w:rsidRPr="00CD3919" w:rsidSect="002E567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3E6A" w14:textId="77777777" w:rsidR="00857A83" w:rsidRDefault="00857A83" w:rsidP="00FD0C17">
      <w:r>
        <w:separator/>
      </w:r>
    </w:p>
  </w:endnote>
  <w:endnote w:type="continuationSeparator" w:id="0">
    <w:p w14:paraId="0AECFCC3" w14:textId="77777777" w:rsidR="00857A83" w:rsidRDefault="00857A83" w:rsidP="00F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Segoe UI">
    <w:altName w:val="Arial"/>
    <w:panose1 w:val="020B0604020202020204"/>
    <w:charset w:val="00"/>
    <w:family w:val="swiss"/>
    <w:pitch w:val="variable"/>
    <w:sig w:usb0="E10022FF" w:usb1="C000E47F" w:usb2="00000029" w:usb3="00000000" w:csb0="000001DF" w:csb1="00000000"/>
  </w:font>
  <w:font w:name="Lucida Grande">
    <w:panose1 w:val="020B0600040502020204"/>
    <w:charset w:val="00"/>
    <w:family w:val="swiss"/>
    <w:pitch w:val="variable"/>
    <w:sig w:usb0="E1000AEF" w:usb1="5000A1FF" w:usb2="00000000" w:usb3="00000000" w:csb0="000001BF" w:csb1="00000000"/>
  </w:font>
  <w:font w:name="Centaur">
    <w:panose1 w:val="020B06040202020202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5296" w14:textId="77777777" w:rsidR="00BB7F6D" w:rsidRDefault="00BB7F6D" w:rsidP="002515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02719" w14:textId="77777777" w:rsidR="00BB7F6D" w:rsidRDefault="00BB7F6D" w:rsidP="009C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83D2" w14:textId="77777777" w:rsidR="00BB7F6D" w:rsidRDefault="00BB7F6D" w:rsidP="002515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01A">
      <w:rPr>
        <w:rStyle w:val="PageNumber"/>
      </w:rPr>
      <w:t>2</w:t>
    </w:r>
    <w:r>
      <w:rPr>
        <w:rStyle w:val="PageNumber"/>
      </w:rPr>
      <w:fldChar w:fldCharType="end"/>
    </w:r>
  </w:p>
  <w:p w14:paraId="07AFE2FD" w14:textId="77777777" w:rsidR="00BB7F6D" w:rsidRDefault="00BB7F6D" w:rsidP="009C7D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5988" w14:textId="77777777" w:rsidR="00857A83" w:rsidRDefault="00857A83" w:rsidP="00FD0C17">
      <w:r>
        <w:separator/>
      </w:r>
    </w:p>
  </w:footnote>
  <w:footnote w:type="continuationSeparator" w:id="0">
    <w:p w14:paraId="3D63EDD5" w14:textId="77777777" w:rsidR="00857A83" w:rsidRDefault="00857A83" w:rsidP="00FD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5DF3"/>
    <w:multiLevelType w:val="hybridMultilevel"/>
    <w:tmpl w:val="17C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50940"/>
    <w:multiLevelType w:val="hybridMultilevel"/>
    <w:tmpl w:val="68644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B60"/>
    <w:multiLevelType w:val="hybridMultilevel"/>
    <w:tmpl w:val="1E96BFF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17"/>
    <w:rsid w:val="00002AA1"/>
    <w:rsid w:val="000302EE"/>
    <w:rsid w:val="00042701"/>
    <w:rsid w:val="000522FE"/>
    <w:rsid w:val="00055334"/>
    <w:rsid w:val="00063A11"/>
    <w:rsid w:val="00070835"/>
    <w:rsid w:val="00091279"/>
    <w:rsid w:val="000945C0"/>
    <w:rsid w:val="00097156"/>
    <w:rsid w:val="000B7CED"/>
    <w:rsid w:val="000C439D"/>
    <w:rsid w:val="000C7CD4"/>
    <w:rsid w:val="000D1190"/>
    <w:rsid w:val="000D603C"/>
    <w:rsid w:val="000D7C82"/>
    <w:rsid w:val="000E0E0B"/>
    <w:rsid w:val="000E10CB"/>
    <w:rsid w:val="000F23C4"/>
    <w:rsid w:val="000F6BA7"/>
    <w:rsid w:val="00103805"/>
    <w:rsid w:val="00111A3D"/>
    <w:rsid w:val="00121524"/>
    <w:rsid w:val="00125191"/>
    <w:rsid w:val="00142B77"/>
    <w:rsid w:val="001438AF"/>
    <w:rsid w:val="00157426"/>
    <w:rsid w:val="001579A8"/>
    <w:rsid w:val="001655F5"/>
    <w:rsid w:val="00165A2F"/>
    <w:rsid w:val="00175B18"/>
    <w:rsid w:val="001A65C3"/>
    <w:rsid w:val="001B79C7"/>
    <w:rsid w:val="001C45DA"/>
    <w:rsid w:val="001F0E96"/>
    <w:rsid w:val="001F12CE"/>
    <w:rsid w:val="001F7193"/>
    <w:rsid w:val="002015BC"/>
    <w:rsid w:val="00222614"/>
    <w:rsid w:val="00223BC3"/>
    <w:rsid w:val="0025152B"/>
    <w:rsid w:val="0028298D"/>
    <w:rsid w:val="00294553"/>
    <w:rsid w:val="00294933"/>
    <w:rsid w:val="002A457A"/>
    <w:rsid w:val="002A7721"/>
    <w:rsid w:val="002C2E89"/>
    <w:rsid w:val="002D21FF"/>
    <w:rsid w:val="002E5677"/>
    <w:rsid w:val="002F5191"/>
    <w:rsid w:val="003030F6"/>
    <w:rsid w:val="003068F8"/>
    <w:rsid w:val="003123F7"/>
    <w:rsid w:val="00315315"/>
    <w:rsid w:val="0032509C"/>
    <w:rsid w:val="00331973"/>
    <w:rsid w:val="00351012"/>
    <w:rsid w:val="003515AE"/>
    <w:rsid w:val="00351A04"/>
    <w:rsid w:val="00352894"/>
    <w:rsid w:val="00352AA7"/>
    <w:rsid w:val="00362DBC"/>
    <w:rsid w:val="0036356D"/>
    <w:rsid w:val="00364701"/>
    <w:rsid w:val="00367B54"/>
    <w:rsid w:val="00375840"/>
    <w:rsid w:val="0037729E"/>
    <w:rsid w:val="00394A19"/>
    <w:rsid w:val="003A1E0C"/>
    <w:rsid w:val="003E01CD"/>
    <w:rsid w:val="003E11AE"/>
    <w:rsid w:val="003E37BC"/>
    <w:rsid w:val="003E5C3A"/>
    <w:rsid w:val="004036AE"/>
    <w:rsid w:val="0042210B"/>
    <w:rsid w:val="00434169"/>
    <w:rsid w:val="00446A21"/>
    <w:rsid w:val="0047101D"/>
    <w:rsid w:val="00487B54"/>
    <w:rsid w:val="004B2423"/>
    <w:rsid w:val="004C5744"/>
    <w:rsid w:val="005054A9"/>
    <w:rsid w:val="00507839"/>
    <w:rsid w:val="00510CBE"/>
    <w:rsid w:val="005162C9"/>
    <w:rsid w:val="00532C10"/>
    <w:rsid w:val="00533D4F"/>
    <w:rsid w:val="00535D48"/>
    <w:rsid w:val="00552ED3"/>
    <w:rsid w:val="00556462"/>
    <w:rsid w:val="00556D63"/>
    <w:rsid w:val="0057103D"/>
    <w:rsid w:val="00575B84"/>
    <w:rsid w:val="0058307E"/>
    <w:rsid w:val="005C7580"/>
    <w:rsid w:val="005C7D74"/>
    <w:rsid w:val="00601A7F"/>
    <w:rsid w:val="00616966"/>
    <w:rsid w:val="00627644"/>
    <w:rsid w:val="00630655"/>
    <w:rsid w:val="006319D4"/>
    <w:rsid w:val="00633632"/>
    <w:rsid w:val="00655834"/>
    <w:rsid w:val="00673D1F"/>
    <w:rsid w:val="00681E49"/>
    <w:rsid w:val="00691FF3"/>
    <w:rsid w:val="00696CD6"/>
    <w:rsid w:val="006A2416"/>
    <w:rsid w:val="006B7A0C"/>
    <w:rsid w:val="006C497C"/>
    <w:rsid w:val="006D351F"/>
    <w:rsid w:val="006E0138"/>
    <w:rsid w:val="006E151D"/>
    <w:rsid w:val="006E614D"/>
    <w:rsid w:val="006F64A5"/>
    <w:rsid w:val="00737328"/>
    <w:rsid w:val="007626C5"/>
    <w:rsid w:val="00770460"/>
    <w:rsid w:val="00780892"/>
    <w:rsid w:val="00794502"/>
    <w:rsid w:val="00795A56"/>
    <w:rsid w:val="007A1355"/>
    <w:rsid w:val="007C11B8"/>
    <w:rsid w:val="007C442B"/>
    <w:rsid w:val="007F382F"/>
    <w:rsid w:val="007F462C"/>
    <w:rsid w:val="007F79CA"/>
    <w:rsid w:val="0080237F"/>
    <w:rsid w:val="00821F48"/>
    <w:rsid w:val="00837084"/>
    <w:rsid w:val="008378AD"/>
    <w:rsid w:val="008455F4"/>
    <w:rsid w:val="00847869"/>
    <w:rsid w:val="00857A83"/>
    <w:rsid w:val="00886578"/>
    <w:rsid w:val="0089156A"/>
    <w:rsid w:val="00895A84"/>
    <w:rsid w:val="00897B5D"/>
    <w:rsid w:val="008B042F"/>
    <w:rsid w:val="008C339E"/>
    <w:rsid w:val="008D47EF"/>
    <w:rsid w:val="008E0A50"/>
    <w:rsid w:val="008E61E5"/>
    <w:rsid w:val="008F41D9"/>
    <w:rsid w:val="008F5BEA"/>
    <w:rsid w:val="0090690E"/>
    <w:rsid w:val="0092763F"/>
    <w:rsid w:val="00930751"/>
    <w:rsid w:val="00946044"/>
    <w:rsid w:val="00946245"/>
    <w:rsid w:val="009510DD"/>
    <w:rsid w:val="00971BEB"/>
    <w:rsid w:val="0097504E"/>
    <w:rsid w:val="00981954"/>
    <w:rsid w:val="009875FB"/>
    <w:rsid w:val="009A3EE5"/>
    <w:rsid w:val="009A5AF4"/>
    <w:rsid w:val="009C1A35"/>
    <w:rsid w:val="009C7DE9"/>
    <w:rsid w:val="009D4C8A"/>
    <w:rsid w:val="009D72A6"/>
    <w:rsid w:val="009F6267"/>
    <w:rsid w:val="00A00193"/>
    <w:rsid w:val="00A14B37"/>
    <w:rsid w:val="00A1501A"/>
    <w:rsid w:val="00A2064A"/>
    <w:rsid w:val="00A303F2"/>
    <w:rsid w:val="00A518D4"/>
    <w:rsid w:val="00A6741D"/>
    <w:rsid w:val="00A7556A"/>
    <w:rsid w:val="00A8021E"/>
    <w:rsid w:val="00A81EA1"/>
    <w:rsid w:val="00A821A5"/>
    <w:rsid w:val="00AA2F1B"/>
    <w:rsid w:val="00AB0319"/>
    <w:rsid w:val="00AB4A47"/>
    <w:rsid w:val="00AB625C"/>
    <w:rsid w:val="00AB7280"/>
    <w:rsid w:val="00AC5F6E"/>
    <w:rsid w:val="00AC7C55"/>
    <w:rsid w:val="00B05B03"/>
    <w:rsid w:val="00B072F1"/>
    <w:rsid w:val="00B10968"/>
    <w:rsid w:val="00B1133D"/>
    <w:rsid w:val="00B12813"/>
    <w:rsid w:val="00B5559E"/>
    <w:rsid w:val="00B64BA1"/>
    <w:rsid w:val="00BB7F6D"/>
    <w:rsid w:val="00BF3D81"/>
    <w:rsid w:val="00BF7BCA"/>
    <w:rsid w:val="00C5323E"/>
    <w:rsid w:val="00C86880"/>
    <w:rsid w:val="00CB0E46"/>
    <w:rsid w:val="00CB13EC"/>
    <w:rsid w:val="00CD3919"/>
    <w:rsid w:val="00CF2451"/>
    <w:rsid w:val="00CF6349"/>
    <w:rsid w:val="00D0104F"/>
    <w:rsid w:val="00D02194"/>
    <w:rsid w:val="00D035D7"/>
    <w:rsid w:val="00D045B1"/>
    <w:rsid w:val="00D107AC"/>
    <w:rsid w:val="00D1533F"/>
    <w:rsid w:val="00D40659"/>
    <w:rsid w:val="00D62FE5"/>
    <w:rsid w:val="00D67162"/>
    <w:rsid w:val="00D94EEB"/>
    <w:rsid w:val="00DA10DB"/>
    <w:rsid w:val="00DB1683"/>
    <w:rsid w:val="00DC5265"/>
    <w:rsid w:val="00DE48F8"/>
    <w:rsid w:val="00DF63D6"/>
    <w:rsid w:val="00E207E6"/>
    <w:rsid w:val="00E236A3"/>
    <w:rsid w:val="00E3365A"/>
    <w:rsid w:val="00E35295"/>
    <w:rsid w:val="00E41951"/>
    <w:rsid w:val="00E64989"/>
    <w:rsid w:val="00E8651D"/>
    <w:rsid w:val="00EA13B6"/>
    <w:rsid w:val="00EB1D87"/>
    <w:rsid w:val="00EB73A1"/>
    <w:rsid w:val="00EC237D"/>
    <w:rsid w:val="00EC3F0F"/>
    <w:rsid w:val="00EF22A6"/>
    <w:rsid w:val="00EF26FA"/>
    <w:rsid w:val="00F10FB8"/>
    <w:rsid w:val="00F17A7F"/>
    <w:rsid w:val="00F5435A"/>
    <w:rsid w:val="00F64C34"/>
    <w:rsid w:val="00F65FAF"/>
    <w:rsid w:val="00F678EC"/>
    <w:rsid w:val="00F70AE4"/>
    <w:rsid w:val="00F74FDC"/>
    <w:rsid w:val="00FC4404"/>
    <w:rsid w:val="00FC7AC6"/>
    <w:rsid w:val="00FD04F8"/>
    <w:rsid w:val="00FD0C17"/>
    <w:rsid w:val="00FE759A"/>
    <w:rsid w:val="00FF4E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F8E1"/>
  <w15:docId w15:val="{EB3D4ECF-94E0-8543-B112-77C954BD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C17"/>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C7580"/>
    <w:rPr>
      <w:rFonts w:ascii="Segoe UI" w:hAnsi="Segoe UI" w:cs="Segoe UI"/>
      <w:sz w:val="18"/>
      <w:szCs w:val="18"/>
    </w:rPr>
  </w:style>
  <w:style w:type="character" w:customStyle="1" w:styleId="BalloonTextChar">
    <w:name w:val="Balloon Text Char"/>
    <w:basedOn w:val="DefaultParagraphFont"/>
    <w:uiPriority w:val="99"/>
    <w:semiHidden/>
    <w:rsid w:val="0028291E"/>
    <w:rPr>
      <w:rFonts w:ascii="Lucida Grande" w:hAnsi="Lucida Grande"/>
      <w:sz w:val="18"/>
      <w:szCs w:val="18"/>
    </w:rPr>
  </w:style>
  <w:style w:type="character" w:customStyle="1" w:styleId="BalloonTextChar0">
    <w:name w:val="Balloon Text Char"/>
    <w:basedOn w:val="DefaultParagraphFont"/>
    <w:uiPriority w:val="99"/>
    <w:semiHidden/>
    <w:rsid w:val="0028291E"/>
    <w:rPr>
      <w:rFonts w:ascii="Lucida Grande" w:hAnsi="Lucida Grande"/>
      <w:sz w:val="18"/>
      <w:szCs w:val="18"/>
    </w:rPr>
  </w:style>
  <w:style w:type="paragraph" w:styleId="FootnoteText">
    <w:name w:val="footnote text"/>
    <w:basedOn w:val="Normal"/>
    <w:link w:val="FootnoteTextChar"/>
    <w:rsid w:val="00FD0C17"/>
    <w:rPr>
      <w:rFonts w:ascii="Times New Roman" w:hAnsi="Times New Roman"/>
      <w:noProof w:val="0"/>
      <w:sz w:val="24"/>
      <w:szCs w:val="24"/>
    </w:rPr>
  </w:style>
  <w:style w:type="character" w:customStyle="1" w:styleId="FootnoteTextChar">
    <w:name w:val="Footnote Text Char"/>
    <w:basedOn w:val="DefaultParagraphFont"/>
    <w:link w:val="FootnoteText"/>
    <w:rsid w:val="00FD0C17"/>
    <w:rPr>
      <w:rFonts w:ascii="Times New Roman" w:eastAsia="Times New Roman" w:hAnsi="Times New Roman" w:cs="Times New Roman"/>
    </w:rPr>
  </w:style>
  <w:style w:type="character" w:styleId="FootnoteReference">
    <w:name w:val="footnote reference"/>
    <w:rsid w:val="00FD0C17"/>
    <w:rPr>
      <w:vertAlign w:val="superscript"/>
    </w:rPr>
  </w:style>
  <w:style w:type="paragraph" w:styleId="Footer">
    <w:name w:val="footer"/>
    <w:basedOn w:val="Normal"/>
    <w:link w:val="FooterChar"/>
    <w:uiPriority w:val="99"/>
    <w:unhideWhenUsed/>
    <w:rsid w:val="009C7DE9"/>
    <w:pPr>
      <w:tabs>
        <w:tab w:val="center" w:pos="4320"/>
        <w:tab w:val="right" w:pos="8640"/>
      </w:tabs>
    </w:pPr>
  </w:style>
  <w:style w:type="character" w:customStyle="1" w:styleId="FooterChar">
    <w:name w:val="Footer Char"/>
    <w:basedOn w:val="DefaultParagraphFont"/>
    <w:link w:val="Footer"/>
    <w:uiPriority w:val="99"/>
    <w:rsid w:val="009C7DE9"/>
    <w:rPr>
      <w:rFonts w:ascii="Times" w:eastAsia="Times New Roman" w:hAnsi="Times" w:cs="Times New Roman"/>
      <w:noProof/>
      <w:sz w:val="20"/>
      <w:szCs w:val="20"/>
    </w:rPr>
  </w:style>
  <w:style w:type="character" w:styleId="PageNumber">
    <w:name w:val="page number"/>
    <w:basedOn w:val="DefaultParagraphFont"/>
    <w:uiPriority w:val="99"/>
    <w:semiHidden/>
    <w:unhideWhenUsed/>
    <w:rsid w:val="009C7DE9"/>
  </w:style>
  <w:style w:type="paragraph" w:styleId="ListParagraph">
    <w:name w:val="List Paragraph"/>
    <w:basedOn w:val="Normal"/>
    <w:uiPriority w:val="34"/>
    <w:qFormat/>
    <w:rsid w:val="008E61E5"/>
    <w:pPr>
      <w:ind w:left="720"/>
      <w:contextualSpacing/>
    </w:pPr>
  </w:style>
  <w:style w:type="character" w:customStyle="1" w:styleId="BalloonTextChar1">
    <w:name w:val="Balloon Text Char1"/>
    <w:basedOn w:val="DefaultParagraphFont"/>
    <w:link w:val="BalloonText"/>
    <w:uiPriority w:val="99"/>
    <w:semiHidden/>
    <w:rsid w:val="005C7580"/>
    <w:rPr>
      <w:rFonts w:ascii="Segoe UI" w:eastAsia="Times New Roman" w:hAnsi="Segoe UI" w:cs="Segoe UI"/>
      <w:noProof/>
      <w:sz w:val="18"/>
      <w:szCs w:val="18"/>
    </w:rPr>
  </w:style>
  <w:style w:type="character" w:styleId="CommentReference">
    <w:name w:val="annotation reference"/>
    <w:basedOn w:val="DefaultParagraphFont"/>
    <w:uiPriority w:val="99"/>
    <w:semiHidden/>
    <w:unhideWhenUsed/>
    <w:rsid w:val="00EF26FA"/>
    <w:rPr>
      <w:sz w:val="16"/>
      <w:szCs w:val="16"/>
    </w:rPr>
  </w:style>
  <w:style w:type="paragraph" w:styleId="CommentText">
    <w:name w:val="annotation text"/>
    <w:basedOn w:val="Normal"/>
    <w:link w:val="CommentTextChar"/>
    <w:uiPriority w:val="99"/>
    <w:semiHidden/>
    <w:unhideWhenUsed/>
    <w:rsid w:val="00EF26FA"/>
  </w:style>
  <w:style w:type="character" w:customStyle="1" w:styleId="CommentTextChar">
    <w:name w:val="Comment Text Char"/>
    <w:basedOn w:val="DefaultParagraphFont"/>
    <w:link w:val="CommentText"/>
    <w:uiPriority w:val="99"/>
    <w:semiHidden/>
    <w:rsid w:val="00EF26FA"/>
    <w:rPr>
      <w:rFonts w:ascii="Times" w:eastAsia="Times New Roman" w:hAnsi="Times" w:cs="Times New Roman"/>
      <w:noProof/>
      <w:sz w:val="20"/>
      <w:szCs w:val="20"/>
    </w:rPr>
  </w:style>
  <w:style w:type="paragraph" w:styleId="CommentSubject">
    <w:name w:val="annotation subject"/>
    <w:basedOn w:val="CommentText"/>
    <w:next w:val="CommentText"/>
    <w:link w:val="CommentSubjectChar"/>
    <w:uiPriority w:val="99"/>
    <w:semiHidden/>
    <w:unhideWhenUsed/>
    <w:rsid w:val="00EF26FA"/>
    <w:rPr>
      <w:b/>
      <w:bCs/>
    </w:rPr>
  </w:style>
  <w:style w:type="character" w:customStyle="1" w:styleId="CommentSubjectChar">
    <w:name w:val="Comment Subject Char"/>
    <w:basedOn w:val="CommentTextChar"/>
    <w:link w:val="CommentSubject"/>
    <w:uiPriority w:val="99"/>
    <w:semiHidden/>
    <w:rsid w:val="00EF26FA"/>
    <w:rPr>
      <w:rFonts w:ascii="Times" w:eastAsia="Times New Roman" w:hAnsi="Times" w:cs="Times New Roman"/>
      <w:b/>
      <w:bCs/>
      <w:noProof/>
      <w:sz w:val="20"/>
      <w:szCs w:val="20"/>
    </w:rPr>
  </w:style>
  <w:style w:type="paragraph" w:customStyle="1" w:styleId="Default">
    <w:name w:val="Default"/>
    <w:rsid w:val="00CB0E46"/>
    <w:pPr>
      <w:autoSpaceDE w:val="0"/>
      <w:autoSpaceDN w:val="0"/>
      <w:adjustRightInd w:val="0"/>
    </w:pPr>
    <w:rPr>
      <w:rFonts w:ascii="Centaur" w:hAnsi="Centaur" w:cs="Centaur"/>
      <w:color w:val="000000"/>
    </w:rPr>
  </w:style>
  <w:style w:type="paragraph" w:styleId="Revision">
    <w:name w:val="Revision"/>
    <w:hidden/>
    <w:uiPriority w:val="99"/>
    <w:semiHidden/>
    <w:rsid w:val="00070835"/>
    <w:rPr>
      <w:rFonts w:ascii="Times" w:eastAsia="Times New Roman" w:hAnsi="Time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UNT</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Glazebrook, Patricia</dc:creator>
  <cp:keywords/>
  <dc:description/>
  <cp:lastModifiedBy>Klaver, Irene</cp:lastModifiedBy>
  <cp:revision>5</cp:revision>
  <cp:lastPrinted>2018-04-04T18:58:00Z</cp:lastPrinted>
  <dcterms:created xsi:type="dcterms:W3CDTF">2019-02-13T21:37:00Z</dcterms:created>
  <dcterms:modified xsi:type="dcterms:W3CDTF">2019-07-23T20:49:00Z</dcterms:modified>
</cp:coreProperties>
</file>